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7AE">
        <w:rPr>
          <w:rFonts w:ascii="Times New Roman" w:hAnsi="Times New Roman" w:cs="Times New Roman"/>
        </w:rPr>
        <w:t xml:space="preserve">  </w:t>
      </w:r>
      <w:r w:rsidRPr="009377AE">
        <w:rPr>
          <w:rFonts w:ascii="Times New Roman" w:hAnsi="Times New Roman" w:cs="Times New Roman"/>
          <w:noProof/>
        </w:rPr>
        <w:drawing>
          <wp:inline distT="0" distB="0" distL="0" distR="0">
            <wp:extent cx="752475" cy="1057275"/>
            <wp:effectExtent l="19050" t="0" r="9525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AE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A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377AE" w:rsidRPr="009377AE" w:rsidRDefault="009377AE" w:rsidP="009377AE">
      <w:pPr>
        <w:pStyle w:val="1"/>
        <w:rPr>
          <w:szCs w:val="28"/>
        </w:rPr>
      </w:pPr>
      <w:proofErr w:type="gramStart"/>
      <w:r w:rsidRPr="009377AE">
        <w:rPr>
          <w:szCs w:val="28"/>
        </w:rPr>
        <w:t>Р</w:t>
      </w:r>
      <w:proofErr w:type="gramEnd"/>
      <w:r w:rsidRPr="009377AE">
        <w:rPr>
          <w:szCs w:val="28"/>
        </w:rPr>
        <w:t xml:space="preserve"> Е Ш Е Н И Е</w:t>
      </w:r>
    </w:p>
    <w:tbl>
      <w:tblPr>
        <w:tblW w:w="4466" w:type="dxa"/>
        <w:tblLook w:val="0000"/>
      </w:tblPr>
      <w:tblGrid>
        <w:gridCol w:w="577"/>
        <w:gridCol w:w="1572"/>
        <w:gridCol w:w="571"/>
        <w:gridCol w:w="1746"/>
      </w:tblGrid>
      <w:tr w:rsidR="009377AE" w:rsidRPr="009377AE" w:rsidTr="009377AE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77" w:type="dxa"/>
            <w:vMerge w:val="restart"/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7A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72" w:type="dxa"/>
            <w:vMerge w:val="restart"/>
            <w:tcBorders>
              <w:bottom w:val="dotted" w:sz="4" w:space="0" w:color="auto"/>
            </w:tcBorders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7AE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571" w:type="dxa"/>
            <w:vMerge w:val="restart"/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7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6" w:type="dxa"/>
            <w:vMerge w:val="restart"/>
            <w:tcBorders>
              <w:bottom w:val="dotted" w:sz="4" w:space="0" w:color="auto"/>
            </w:tcBorders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7A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377AE" w:rsidRPr="009377AE" w:rsidTr="009377A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77" w:type="dxa"/>
            <w:vMerge/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tcBorders>
              <w:bottom w:val="dotted" w:sz="4" w:space="0" w:color="auto"/>
            </w:tcBorders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tcBorders>
              <w:bottom w:val="dotted" w:sz="4" w:space="0" w:color="auto"/>
            </w:tcBorders>
            <w:vAlign w:val="bottom"/>
          </w:tcPr>
          <w:p w:rsidR="009377AE" w:rsidRPr="009377AE" w:rsidRDefault="009377AE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77AE" w:rsidRDefault="009377AE" w:rsidP="00937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377AE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</w:t>
      </w:r>
      <w:proofErr w:type="gramStart"/>
      <w:r w:rsidRPr="009377AE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>районного Собрания от 19.02.2021 № 17 «Об утверждении</w:t>
      </w: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>Положения о системе оплаты труда и стимулирования работников</w:t>
      </w:r>
    </w:p>
    <w:p w:rsidR="009377AE" w:rsidRPr="009377AE" w:rsidRDefault="009377AE" w:rsidP="0093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«Стадион Авангард»</w:t>
      </w:r>
    </w:p>
    <w:p w:rsidR="009377AE" w:rsidRPr="009377AE" w:rsidRDefault="009377AE" w:rsidP="009377AE">
      <w:pPr>
        <w:tabs>
          <w:tab w:val="left" w:pos="22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>Красноармейского района Саратовской области</w:t>
      </w:r>
    </w:p>
    <w:p w:rsidR="009377AE" w:rsidRP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7AE" w:rsidRP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7AE" w:rsidRPr="009377AE" w:rsidRDefault="009377AE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7AE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ст. 53 Федерального закона от 06 октября 2003 года № 131-ФЗ «Об общих принципах самоуправления в Российской Федерации, Федеральным законом от 03.11.2006 года № 174-ФЗ «Об автономных учреждениях», Уставом Красноармейского муниципального района, Постановлением администрации Красноармейского муниципального района Саратовской области от 27 января 2021 г. № 54 «О создании муниципального автономного учреждения «Стадион Авангард» Красноармейского района Саратовской</w:t>
      </w:r>
      <w:proofErr w:type="gramEnd"/>
      <w:r w:rsidRPr="009377AE">
        <w:rPr>
          <w:rFonts w:ascii="Times New Roman" w:hAnsi="Times New Roman" w:cs="Times New Roman"/>
          <w:sz w:val="28"/>
          <w:szCs w:val="28"/>
        </w:rPr>
        <w:t xml:space="preserve"> области, Красноармейское районное Собрание </w:t>
      </w:r>
      <w:r w:rsidRPr="009377AE"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9377AE">
        <w:rPr>
          <w:rFonts w:ascii="Times New Roman" w:hAnsi="Times New Roman" w:cs="Times New Roman"/>
          <w:sz w:val="28"/>
          <w:szCs w:val="28"/>
        </w:rPr>
        <w:t>:</w:t>
      </w:r>
    </w:p>
    <w:p w:rsidR="009377AE" w:rsidRPr="009377AE" w:rsidRDefault="009377AE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>1. Внести изменения в решение Красноармейского районного Собрания от 19.02.2021 № 17 «Об утверждении Положения о системе оплаты труда и стимулирования работников муниципального автономного учреждения «Стадион Авангард» Красноармейского района Саратовской области согласно Приложению.</w:t>
      </w:r>
    </w:p>
    <w:p w:rsidR="00E66CF5" w:rsidRDefault="009377AE" w:rsidP="00E6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>2. 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</w:r>
    </w:p>
    <w:p w:rsidR="009377AE" w:rsidRPr="009377AE" w:rsidRDefault="009377AE" w:rsidP="00E6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момента принятия и распространяется на </w:t>
      </w:r>
      <w:proofErr w:type="gramStart"/>
      <w:r w:rsidRPr="009377AE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9377AE">
        <w:rPr>
          <w:rFonts w:ascii="Times New Roman" w:hAnsi="Times New Roman" w:cs="Times New Roman"/>
          <w:sz w:val="28"/>
          <w:szCs w:val="28"/>
        </w:rPr>
        <w:t xml:space="preserve"> возникшие с 08.02.2021 года</w:t>
      </w:r>
    </w:p>
    <w:p w:rsidR="009377AE" w:rsidRP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AE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Л.В. Герасимова</w:t>
      </w:r>
    </w:p>
    <w:p w:rsid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93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районного Собрания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937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E5E56" w:rsidRPr="00FE5E56" w:rsidRDefault="00FE5E56" w:rsidP="00FE5E56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FE5E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E5E56" w:rsidRPr="00FE5E56" w:rsidRDefault="00FE5E56" w:rsidP="00FE5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FE5E56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Pr="00FE5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E56" w:rsidRPr="00FE5E56" w:rsidRDefault="00FE5E56" w:rsidP="00FE5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районного Собрания</w:t>
      </w:r>
    </w:p>
    <w:p w:rsidR="00FE5E56" w:rsidRPr="00FE5E56" w:rsidRDefault="00FE5E56" w:rsidP="009377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от </w:t>
      </w:r>
      <w:r w:rsidR="009377AE">
        <w:rPr>
          <w:rFonts w:ascii="Times New Roman" w:hAnsi="Times New Roman" w:cs="Times New Roman"/>
          <w:sz w:val="28"/>
          <w:szCs w:val="28"/>
        </w:rPr>
        <w:t>26.04.2021г. № 32</w:t>
      </w:r>
    </w:p>
    <w:p w:rsidR="00AB39DC" w:rsidRDefault="00AB39DC" w:rsidP="00FE5E5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9DC" w:rsidRPr="009377AE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9D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377AE">
        <w:rPr>
          <w:rFonts w:ascii="Times New Roman" w:hAnsi="Times New Roman" w:cs="Times New Roman"/>
          <w:b/>
          <w:sz w:val="28"/>
          <w:szCs w:val="28"/>
        </w:rPr>
        <w:t>Изменения, вносимые в Положение о системе оплаты труда и стимулирования работников муниципального автономного учреждения «Стадион Авангард» Красноармейского района Саратовской области, утвержденное Решением Красноармейского  районного Собрания от 19.02.2021 года № 17.</w:t>
      </w:r>
      <w:proofErr w:type="gramEnd"/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9DC">
        <w:rPr>
          <w:rFonts w:ascii="Times New Roman" w:hAnsi="Times New Roman" w:cs="Times New Roman"/>
          <w:sz w:val="28"/>
          <w:szCs w:val="28"/>
        </w:rPr>
        <w:t xml:space="preserve">    Внести 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9DC">
        <w:rPr>
          <w:rFonts w:ascii="Times New Roman" w:hAnsi="Times New Roman" w:cs="Times New Roman"/>
          <w:sz w:val="28"/>
          <w:szCs w:val="28"/>
        </w:rPr>
        <w:t xml:space="preserve"> о системе оплаты труда и стимулирования работников муниципального автономного учреждения «Стадион Авангард» Красноармейского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AB3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9DC">
        <w:rPr>
          <w:rFonts w:ascii="Times New Roman" w:hAnsi="Times New Roman" w:cs="Times New Roman"/>
          <w:sz w:val="28"/>
          <w:szCs w:val="28"/>
        </w:rPr>
        <w:t xml:space="preserve">– из Раздела 3. Выплата компенсационного характера заменить новой редакцией; </w:t>
      </w:r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9DC">
        <w:rPr>
          <w:rFonts w:ascii="Times New Roman" w:hAnsi="Times New Roman" w:cs="Times New Roman"/>
          <w:sz w:val="28"/>
          <w:szCs w:val="28"/>
        </w:rPr>
        <w:t xml:space="preserve">из Раздела 4. Выплаты стимулирующего характера исключить пункт 4.2.1.; </w:t>
      </w:r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9DC">
        <w:rPr>
          <w:rFonts w:ascii="Times New Roman" w:hAnsi="Times New Roman" w:cs="Times New Roman"/>
          <w:sz w:val="28"/>
          <w:szCs w:val="28"/>
        </w:rPr>
        <w:t>в разделе 5. Оплата труда руководителя учреждения, его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39DC">
        <w:rPr>
          <w:rFonts w:ascii="Times New Roman" w:hAnsi="Times New Roman" w:cs="Times New Roman"/>
          <w:sz w:val="28"/>
          <w:szCs w:val="28"/>
        </w:rPr>
        <w:t xml:space="preserve">местителей исключить должность «заместитель руководителя» во всех пунктах данного раздела; </w:t>
      </w:r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9DC">
        <w:rPr>
          <w:rFonts w:ascii="Times New Roman" w:hAnsi="Times New Roman" w:cs="Times New Roman"/>
          <w:sz w:val="28"/>
          <w:szCs w:val="28"/>
        </w:rPr>
        <w:t xml:space="preserve">раздел 6. Социальные гарантии исключить и заменить новым Порядок формирования фонда оплаты труда; </w:t>
      </w:r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9DC">
        <w:rPr>
          <w:rFonts w:ascii="Times New Roman" w:hAnsi="Times New Roman" w:cs="Times New Roman"/>
          <w:sz w:val="28"/>
          <w:szCs w:val="28"/>
        </w:rPr>
        <w:t xml:space="preserve">добавить раздел 7. Порядок </w:t>
      </w:r>
      <w:proofErr w:type="gramStart"/>
      <w:r w:rsidRPr="00AB39DC">
        <w:rPr>
          <w:rFonts w:ascii="Times New Roman" w:hAnsi="Times New Roman" w:cs="Times New Roman"/>
          <w:sz w:val="28"/>
          <w:szCs w:val="28"/>
        </w:rPr>
        <w:t>использования экономии фонда оплаты труда</w:t>
      </w:r>
      <w:proofErr w:type="gramEnd"/>
      <w:r w:rsidRPr="00AB39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9DC">
        <w:rPr>
          <w:rFonts w:ascii="Times New Roman" w:hAnsi="Times New Roman" w:cs="Times New Roman"/>
          <w:sz w:val="28"/>
          <w:szCs w:val="28"/>
        </w:rPr>
        <w:t xml:space="preserve">в Приложении № 1 к Положению о системе оплаты труда и стимулирования работников муниципального автономного учреждения «Стадион Авангард» Красноармейского района Саратовской области из Таблицы 1 исключить пункт 1.; </w:t>
      </w:r>
    </w:p>
    <w:p w:rsidR="00AB39DC" w:rsidRPr="00AB39DC" w:rsidRDefault="00AB39DC" w:rsidP="00AB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9DC">
        <w:rPr>
          <w:rFonts w:ascii="Times New Roman" w:hAnsi="Times New Roman" w:cs="Times New Roman"/>
          <w:sz w:val="28"/>
          <w:szCs w:val="28"/>
        </w:rPr>
        <w:t>в Таблице 2 исключить наименование должности «Кассир» и изложить в следующей редакции</w:t>
      </w:r>
      <w:r w:rsidR="00DF66FE">
        <w:rPr>
          <w:rFonts w:ascii="Times New Roman" w:hAnsi="Times New Roman" w:cs="Times New Roman"/>
          <w:sz w:val="28"/>
          <w:szCs w:val="28"/>
        </w:rPr>
        <w:t>:</w:t>
      </w:r>
    </w:p>
    <w:p w:rsidR="00AB39DC" w:rsidRDefault="00AB39DC" w:rsidP="00FE5E5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E56" w:rsidRPr="00FE5E56" w:rsidRDefault="00FE5E56" w:rsidP="00FE5E5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 xml:space="preserve"> о системе оплаты труда и стимулирования работников муниципального автономного учреждения «Стадион Авангард» Красноармейс</w:t>
      </w:r>
      <w:r w:rsidR="00AB39DC">
        <w:rPr>
          <w:rFonts w:ascii="Times New Roman" w:eastAsia="Calibri" w:hAnsi="Times New Roman" w:cs="Times New Roman"/>
          <w:b/>
          <w:sz w:val="28"/>
          <w:szCs w:val="28"/>
        </w:rPr>
        <w:t>кого района Саратовской области</w:t>
      </w:r>
    </w:p>
    <w:p w:rsidR="00FE5E56" w:rsidRPr="00FE5E56" w:rsidRDefault="00FE5E56" w:rsidP="00FE5E5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5E56" w:rsidRPr="00FE5E56" w:rsidRDefault="00FE5E56" w:rsidP="009377AE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Раздел 1. Общие положения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1.1. Настоящее Положение разработано в соответствии с Трудовым Кодексом Российской Федерации и применяется при определении заработной платы работников муниципального автономного учреждения «Стадион Авангард» Красноармейского района Саратовской области (далее – Учреждение) и включает в себя: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размеры должностных окладов (окладов, ставок заработной платы) работников;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наименование, условия осуществления и размеры выплат компенсационного характера;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наименование, условия осуществления выплат стимулирующего характера.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1.2. Оплата труда работников, занятых по совместительству, а также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 xml:space="preserve">на условиях неполного рабочего времени или неполной рабочей недели, производится пропорционально отработанному времени в зависимости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 xml:space="preserve">от выработки либо на других условиях, определенных трудовым договором. Определение размеров заработной платы по основной должности, а также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>по должности, занимаемой в порядке совместительства, производится раздельно по каждой из должностей.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 месячная заработная плата работника, полностью отработавшего за этот период норму рабочего времени  и выполнившего нормы труда (трудовые обязанности), не может быть ниже минимального </w:t>
      </w:r>
      <w:proofErr w:type="gramStart"/>
      <w:r w:rsidRPr="00FE5E56"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 w:rsidRPr="00FE5E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E56" w:rsidRPr="00FE5E56" w:rsidRDefault="00FE5E56" w:rsidP="00FE5E56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Раздел 2. Порядок формирования должностных окладов</w:t>
      </w:r>
    </w:p>
    <w:p w:rsidR="00FE5E56" w:rsidRPr="00FE5E56" w:rsidRDefault="00FE5E56" w:rsidP="009377AE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(окладов, ставок заработной платы)</w:t>
      </w:r>
    </w:p>
    <w:p w:rsid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2.1. Должностные оклады (ставки заработной платы) работников Учреждения устанавливаются </w:t>
      </w:r>
      <w:r w:rsidRPr="00FE5E5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в соответствии с таблицами  </w:t>
      </w:r>
      <w:hyperlink r:id="rId6" w:history="1">
        <w:r w:rsidRPr="00FE5E56">
          <w:rPr>
            <w:rStyle w:val="a4"/>
            <w:rFonts w:ascii="Times New Roman" w:eastAsia="Calibri" w:hAnsi="Times New Roman" w:cs="Times New Roman"/>
            <w:color w:val="auto"/>
            <w:spacing w:val="-3"/>
            <w:sz w:val="28"/>
            <w:szCs w:val="28"/>
          </w:rPr>
          <w:t>приложения № 1</w:t>
        </w:r>
      </w:hyperlink>
      <w:r w:rsidRPr="00FE5E5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к настоящему</w:t>
      </w: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 Положению.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2.2. Оклады рабочих Учреждения, устанавливаются в зависимости от присвоенных им квалификационных разрядов с учетом </w:t>
      </w:r>
      <w:hyperlink r:id="rId7" w:history="1">
        <w:r w:rsidRPr="00FE5E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единого тарифно-квалификационного справочника</w:t>
        </w:r>
      </w:hyperlink>
      <w:r w:rsidRPr="00FE5E56">
        <w:rPr>
          <w:rFonts w:ascii="Times New Roman" w:hAnsi="Times New Roman" w:cs="Times New Roman"/>
          <w:sz w:val="28"/>
          <w:szCs w:val="28"/>
        </w:rPr>
        <w:t xml:space="preserve"> работ и профессий рабочих (далее - ЕТКС) или с учетом профессиональных стандартов.</w:t>
      </w:r>
    </w:p>
    <w:p w:rsidR="00FE5E56" w:rsidRPr="00FE5E56" w:rsidRDefault="00FE5E56" w:rsidP="00FE5E56">
      <w:pPr>
        <w:widowControl w:val="0"/>
        <w:spacing w:after="0" w:line="240" w:lineRule="auto"/>
        <w:ind w:firstLine="12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05"/>
      <w:bookmarkEnd w:id="0"/>
      <w:r w:rsidRPr="00FE5E56">
        <w:rPr>
          <w:rFonts w:ascii="Times New Roman" w:hAnsi="Times New Roman" w:cs="Times New Roman"/>
          <w:sz w:val="28"/>
          <w:szCs w:val="28"/>
        </w:rPr>
        <w:t xml:space="preserve">     2.3. Рабочим, имеющим высший разряд согласно </w:t>
      </w:r>
      <w:hyperlink r:id="rId8" w:history="1">
        <w:r w:rsidRPr="00FE5E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ЕТКС</w:t>
        </w:r>
      </w:hyperlink>
      <w:r w:rsidRPr="00FE5E56">
        <w:rPr>
          <w:rFonts w:ascii="Times New Roman" w:hAnsi="Times New Roman" w:cs="Times New Roman"/>
          <w:sz w:val="28"/>
          <w:szCs w:val="28"/>
        </w:rPr>
        <w:t xml:space="preserve"> и выполняющим работы, предусмотренные этим разрядом или высшей сложности, постоянно занятым на важных и ответственных работах (высококвалифицированные рабочие), оклады устанавливаются руководителем Учреждения по согласованию с представительным органом работников в повышенных размерах.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Указанные оклады могут устанавливаться на неопределенный срок, а также на период выполнения определенной работы или на иной установленный работодателем срок.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Введение, изменение или отмена повышенных окладов производятся работодателем с соблюдением правил изменений условий трудового договора, предусмотренных нормами </w:t>
      </w:r>
      <w:hyperlink r:id="rId9" w:history="1">
        <w:r w:rsidRPr="00FE5E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Трудового кодекса</w:t>
        </w:r>
      </w:hyperlink>
      <w:r w:rsidRPr="00FE5E5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E5E56" w:rsidRDefault="00FE5E56" w:rsidP="00FE5E56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E56" w:rsidRDefault="00FE5E56" w:rsidP="00FE5E56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Раздел 3. Выплаты компенсационного характера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3.1.  Компенсационные выплаты устанавливаются не ниже размеров установленных трудовым законодательством и  ирными нормативными правовыми актами, содержащими нормы трудового права. К видам таких выплат относятся: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- за расширение зон обслуживания;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lastRenderedPageBreak/>
        <w:t>-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- за работу в выходные и нерабочие праздничные дни;</w:t>
      </w:r>
    </w:p>
    <w:p w:rsidR="009377AE" w:rsidRDefault="00FE5E56" w:rsidP="009377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- за сверхурочную работу.</w:t>
      </w:r>
    </w:p>
    <w:p w:rsidR="009377AE" w:rsidRDefault="00FE5E56" w:rsidP="009377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3.2.</w:t>
      </w:r>
      <w:r w:rsidRPr="00FE5E5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E5E56">
        <w:rPr>
          <w:rFonts w:ascii="Times New Roman" w:eastAsia="Calibri" w:hAnsi="Times New Roman" w:cs="Times New Roman"/>
          <w:sz w:val="28"/>
          <w:szCs w:val="28"/>
        </w:rPr>
        <w:t>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</w:t>
      </w:r>
      <w:r w:rsidR="009377AE">
        <w:rPr>
          <w:rFonts w:ascii="Times New Roman" w:eastAsia="Calibri" w:hAnsi="Times New Roman" w:cs="Times New Roman"/>
          <w:sz w:val="28"/>
          <w:szCs w:val="28"/>
        </w:rPr>
        <w:t>ьной работы.</w:t>
      </w:r>
    </w:p>
    <w:p w:rsidR="009377AE" w:rsidRDefault="00FE5E56" w:rsidP="009377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3.3.</w:t>
      </w:r>
      <w:r w:rsidRPr="00FE5E5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Доплата за увеличение объема работы или исполнение обязанностей временно отсутствующего работника без освобождения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 xml:space="preserve">от работы, определенной трудовым договором, устанавливается работнику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 xml:space="preserve">в случае увеличения установленного ему объема работы или возложения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>на него обязанностей временно отсутствующего работника.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E5E56" w:rsidRPr="00FE5E56" w:rsidRDefault="00FE5E56" w:rsidP="009377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3.4.</w:t>
      </w:r>
      <w:r w:rsidRPr="00FE5E5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E5E56">
        <w:rPr>
          <w:rFonts w:ascii="Times New Roman" w:eastAsia="Calibri" w:hAnsi="Times New Roman" w:cs="Times New Roman"/>
          <w:sz w:val="28"/>
          <w:szCs w:val="28"/>
        </w:rPr>
        <w:t>Доплата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E5E56">
        <w:rPr>
          <w:rFonts w:ascii="Times New Roman" w:eastAsia="Calibri" w:hAnsi="Times New Roman" w:cs="Times New Roman"/>
          <w:sz w:val="28"/>
          <w:szCs w:val="28"/>
        </w:rPr>
        <w:t>Размер доплаты составляет не менее одинарной части должностного оклада (оклада, ставки заработной платы) за час работы сверх должностного оклада (оклада, 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(оклада, ставки заработной платы) за час работы сверх должностного</w:t>
      </w:r>
      <w:proofErr w:type="gramEnd"/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 оклада (оклада, ставки заработной платы) за каждый час работы, если работа производилась сверх месячной нормы рабочего времени.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3.5. При сверхурочной работе, работникам производится доплата в соответствии со ст.152 Трудового кодекса Российской Федерации.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3.6. Доплата за совмещение профессий (должностей) устанавливается работнику при совмещении им профессий (должностей). Размер доплаты </w:t>
      </w:r>
      <w:r w:rsidRPr="00FE5E56">
        <w:rPr>
          <w:rFonts w:ascii="Times New Roman" w:eastAsia="Calibri" w:hAnsi="Times New Roman" w:cs="Times New Roman"/>
          <w:sz w:val="28"/>
          <w:szCs w:val="28"/>
        </w:rPr>
        <w:br/>
        <w:t>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3.7.</w:t>
      </w:r>
      <w:r w:rsidRPr="00FE5E5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Начисление компенсационных выплат за выполнение работ в условиях, отклоняющихся от нормальных (за выполнение сверхурочных работ, а также за выполнение работ в выходные и нерабочие праздничные дни), осуществляется сверх минимального </w:t>
      </w:r>
      <w:proofErr w:type="gramStart"/>
      <w:r w:rsidRPr="00FE5E56"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 (минимальной заработной платы).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E56" w:rsidRPr="00FE5E56" w:rsidRDefault="00FE5E56" w:rsidP="00FE5E56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Раздел 4. Выплаты стимулирующего характера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4.1. В соответствии с настоящим Положением работникам Учреждения устанавливаются следующие виды выплат стимулирующего характера: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lastRenderedPageBreak/>
        <w:t>выплаты за качество выполняемых работ;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премиальные выплаты по итогам работы.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4.2. Выплаты за интенсивность и высокие результаты работы включают: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4.2.1. Выплаты, устанавливаемые на определенный срок: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надбавка за выполнение в короткие сроки больших объемов работ;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надбавка за оперативное выполнение дополнительных задач.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Размер выплат может устанавливаться как в абсолютном значении, так и в процентном отношении к окладу (должностному окладу, ставке заработной платы).</w:t>
      </w:r>
      <w:bookmarkStart w:id="1" w:name="sub_1403"/>
      <w:bookmarkEnd w:id="1"/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031"/>
      <w:bookmarkEnd w:id="2"/>
      <w:r w:rsidRPr="00FE5E56">
        <w:rPr>
          <w:rFonts w:ascii="Times New Roman" w:hAnsi="Times New Roman" w:cs="Times New Roman"/>
          <w:sz w:val="28"/>
          <w:szCs w:val="28"/>
        </w:rPr>
        <w:t>4.3. Премия по итогам работы устанавливается работнику с учетом разработанных Учреждением критериев, позволяющих оценить результативность и качество работы.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4"/>
      <w:bookmarkEnd w:id="3"/>
      <w:r w:rsidRPr="00FE5E56">
        <w:rPr>
          <w:rFonts w:ascii="Times New Roman" w:hAnsi="Times New Roman" w:cs="Times New Roman"/>
          <w:sz w:val="28"/>
          <w:szCs w:val="28"/>
        </w:rPr>
        <w:t>4.4. Единовременная премия к праздничным датам, за участие в реализации национальных проектов, целевых программ, участие в конкурсах, социально значимых мероприятиях.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Размер премии может устанавливаться как в абсолютном размере, так и в процентном отношении к окладу (должностному окладу, ставке заработной платы).</w:t>
      </w:r>
    </w:p>
    <w:p w:rsidR="00FE5E56" w:rsidRPr="00FE5E56" w:rsidRDefault="00FE5E56" w:rsidP="00FE5E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5"/>
      <w:bookmarkEnd w:id="4"/>
      <w:r w:rsidRPr="00FE5E56">
        <w:rPr>
          <w:rFonts w:ascii="Times New Roman" w:hAnsi="Times New Roman" w:cs="Times New Roman"/>
          <w:sz w:val="28"/>
          <w:szCs w:val="28"/>
        </w:rPr>
        <w:t>4.5. Премиальные выплаты по итогам работы включают:</w:t>
      </w:r>
    </w:p>
    <w:p w:rsidR="00FE5E56" w:rsidRPr="00FE5E56" w:rsidRDefault="00FE5E56" w:rsidP="00FE5E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премии за выполнение особо важных и ответственных работ, которые выплачиваются работникам единовременно; </w:t>
      </w:r>
    </w:p>
    <w:p w:rsidR="00FE5E56" w:rsidRPr="00FE5E56" w:rsidRDefault="00FE5E56" w:rsidP="00FE5E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премии по итогам работы (за месяц, квартал, полугодие, 9 месяцев, год или иные периоды).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       При премировании по итогам работы (за месяц, квартал, полугодие, 9 месяцев, год или иные периоды работы) учитываются:</w:t>
      </w:r>
    </w:p>
    <w:p w:rsidR="00FE5E56" w:rsidRPr="00FE5E56" w:rsidRDefault="00FE5E56" w:rsidP="00FE5E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совершенных методов организации труда;</w:t>
      </w:r>
    </w:p>
    <w:p w:rsidR="00FE5E56" w:rsidRPr="00FE5E56" w:rsidRDefault="00FE5E56" w:rsidP="00FE5E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в соответствующий период;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         участие в инновационной деятельности;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   участие в соответствующий период в выполнении важных работ, мероприятий.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         Размер премий может устанавливаться как в абсолютном размере, так и в процентном соотношении к должностному окладу (окладу). Максимальным размером премии по итогам работы не ограничены.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4.6. В соответствии с настоящим Положением объем средств, направляемых на выплаты стимулирующего характера работникам Учреждения должен составлять не менее 25 процентов от объема средств, направляемых на оклады (должностные оклады, ставки заработной платы) работников Учреждения.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7"/>
      <w:bookmarkEnd w:id="5"/>
      <w:r w:rsidRPr="00FE5E56">
        <w:rPr>
          <w:rFonts w:ascii="Times New Roman" w:hAnsi="Times New Roman" w:cs="Times New Roman"/>
          <w:sz w:val="28"/>
          <w:szCs w:val="28"/>
        </w:rPr>
        <w:t>4.7. Выплаты стимулирующего характера работникам Учреждения  устанавливаются на определенный срок (не более одного года) приказом по Учреждению.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8"/>
      <w:bookmarkEnd w:id="6"/>
      <w:r w:rsidRPr="00FE5E56">
        <w:rPr>
          <w:rFonts w:ascii="Times New Roman" w:hAnsi="Times New Roman" w:cs="Times New Roman"/>
          <w:sz w:val="28"/>
          <w:szCs w:val="28"/>
        </w:rPr>
        <w:t xml:space="preserve">4.8. Выплаты стимулирующего характера работникам Учреждения производятся с учетом показателей и критериев оценки результативности и </w:t>
      </w:r>
      <w:r w:rsidRPr="00FE5E56">
        <w:rPr>
          <w:rFonts w:ascii="Times New Roman" w:hAnsi="Times New Roman" w:cs="Times New Roman"/>
          <w:sz w:val="28"/>
          <w:szCs w:val="28"/>
        </w:rPr>
        <w:lastRenderedPageBreak/>
        <w:t>качества их работы, определяемых руководителем Учреждения.</w:t>
      </w:r>
    </w:p>
    <w:p w:rsidR="00FE5E56" w:rsidRPr="00FE5E56" w:rsidRDefault="00FE5E56" w:rsidP="00FE5E5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Выплаты стимулирующего характера выплачиваются в пределах средств субсидий на выполнения государственного задания, субсидий на иные цели и за счет средств от приносящей доход деятельности в пределах фонда, направляемого на оплату труда.</w:t>
      </w:r>
    </w:p>
    <w:p w:rsidR="00FE5E56" w:rsidRPr="00FE5E56" w:rsidRDefault="00FE5E56" w:rsidP="00FE5E56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E56" w:rsidRPr="009377AE" w:rsidRDefault="00FE5E56" w:rsidP="009377AE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E5E56">
        <w:rPr>
          <w:rFonts w:ascii="Times New Roman" w:eastAsia="Calibri" w:hAnsi="Times New Roman" w:cs="Times New Roman"/>
          <w:b/>
          <w:sz w:val="28"/>
          <w:szCs w:val="28"/>
        </w:rPr>
        <w:t>Раздел 5. Оплата труда руководителя учреждения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5.1.</w:t>
      </w:r>
      <w:r w:rsidRPr="00FE5E5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E5E56">
        <w:rPr>
          <w:rFonts w:ascii="Times New Roman" w:eastAsia="Calibri" w:hAnsi="Times New Roman" w:cs="Times New Roman"/>
          <w:sz w:val="28"/>
          <w:szCs w:val="28"/>
        </w:rPr>
        <w:t>Оплата труда руководителя Учреждения состоит из должностного оклада, выплат компенсационного и стимулирующего характера.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5.2.</w:t>
      </w:r>
      <w:r w:rsidRPr="00FE5E5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Должностной оклад руководителя Учреждения определяется в соответствии с таблицей 1 </w:t>
      </w:r>
      <w:r w:rsidRPr="00FE5E56">
        <w:rPr>
          <w:rFonts w:ascii="Times New Roman" w:eastAsia="Calibri" w:hAnsi="Times New Roman" w:cs="Times New Roman"/>
          <w:sz w:val="28"/>
          <w:szCs w:val="28"/>
          <w:u w:val="single"/>
        </w:rPr>
        <w:t>приложения № 1</w:t>
      </w:r>
      <w:r w:rsidRPr="00FE5E56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5.3. Выплаты компенсационного характера руководителю Учреждения устанавливаются в процентах к должностному окладу или в абсолютных размерах с учетом условий труда в соответствии с федеральными законами, иными нормативными актами Российской Федерации, законами Саратовской области и иными нормативными правовыми актами Саратовской области.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56">
        <w:rPr>
          <w:rFonts w:ascii="Times New Roman" w:eastAsia="Calibri" w:hAnsi="Times New Roman" w:cs="Times New Roman"/>
          <w:sz w:val="28"/>
          <w:szCs w:val="28"/>
        </w:rPr>
        <w:t>5.4. К выплатам стимулирующего характера относится выплата за интенсивность и высокие результаты работы.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7AE" w:rsidRDefault="00FE5E56" w:rsidP="0093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5E56">
        <w:rPr>
          <w:rFonts w:ascii="Times New Roman" w:hAnsi="Times New Roman" w:cs="Times New Roman"/>
          <w:b/>
          <w:bCs/>
          <w:sz w:val="28"/>
          <w:szCs w:val="28"/>
        </w:rPr>
        <w:t>6. Порядок формирования фонда оплаты труда</w:t>
      </w:r>
    </w:p>
    <w:p w:rsidR="00FE5E56" w:rsidRPr="009377AE" w:rsidRDefault="00FE5E56" w:rsidP="00937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6.1.  Фонд оплаты труда работников Учреждения состоит из должностных окладов (окладов, ставок заработной платы) работников, выплат компенсационного характера и выплат стимулирующего характера.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E56" w:rsidRPr="00FE5E56" w:rsidRDefault="00FE5E56" w:rsidP="00937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E56">
        <w:rPr>
          <w:rFonts w:ascii="Times New Roman" w:hAnsi="Times New Roman" w:cs="Times New Roman"/>
          <w:b/>
          <w:bCs/>
          <w:sz w:val="28"/>
          <w:szCs w:val="28"/>
        </w:rPr>
        <w:t xml:space="preserve">7. Порядок </w:t>
      </w:r>
      <w:proofErr w:type="gramStart"/>
      <w:r w:rsidRPr="00FE5E56">
        <w:rPr>
          <w:rFonts w:ascii="Times New Roman" w:hAnsi="Times New Roman" w:cs="Times New Roman"/>
          <w:b/>
          <w:bCs/>
          <w:sz w:val="28"/>
          <w:szCs w:val="28"/>
        </w:rPr>
        <w:t>использования экономии фонда оплаты труда</w:t>
      </w:r>
      <w:proofErr w:type="gramEnd"/>
    </w:p>
    <w:p w:rsidR="009377AE" w:rsidRDefault="00FE5E56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FE5E56">
        <w:rPr>
          <w:rFonts w:ascii="Times New Roman" w:hAnsi="Times New Roman" w:cs="Times New Roman"/>
          <w:sz w:val="28"/>
          <w:szCs w:val="28"/>
        </w:rPr>
        <w:t>Экономия фонда оплаты труда может быть направлена на премирование работников за выполнение особо важных заданий, за проявленную инициативу в порядке и разме</w:t>
      </w:r>
      <w:r w:rsidR="009377AE">
        <w:rPr>
          <w:rFonts w:ascii="Times New Roman" w:hAnsi="Times New Roman" w:cs="Times New Roman"/>
          <w:sz w:val="28"/>
          <w:szCs w:val="28"/>
        </w:rPr>
        <w:t>ре установленными работодателем.</w:t>
      </w:r>
    </w:p>
    <w:p w:rsidR="009377AE" w:rsidRDefault="00FE5E56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FE5E56">
        <w:rPr>
          <w:rFonts w:ascii="Times New Roman" w:hAnsi="Times New Roman" w:cs="Times New Roman"/>
          <w:sz w:val="28"/>
          <w:szCs w:val="28"/>
        </w:rPr>
        <w:t>7.2.  Работникам Учреждения из средств экономии по фонду оплаты труда может выплачиваться материальная помощь.</w:t>
      </w:r>
    </w:p>
    <w:p w:rsidR="009377AE" w:rsidRDefault="00FE5E56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К    материальной    помощи    относится    единовременная    выплата, предоставляемая по личному заявлению работника Учреждения.</w:t>
      </w:r>
    </w:p>
    <w:p w:rsidR="009377AE" w:rsidRDefault="00FE5E56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E56">
        <w:rPr>
          <w:rFonts w:ascii="Times New Roman" w:hAnsi="Times New Roman" w:cs="Times New Roman"/>
          <w:sz w:val="28"/>
          <w:szCs w:val="28"/>
        </w:rPr>
        <w:t>В особых случаях: бракосочетание, рождение ребенка, юбилейная дата (50-, 55-, 60-, 65-летие со дня рождения), смерть близкого родственника (отца, матери, мужа, жены, детей), стихийные бедствия, при других чрезвычайных обстоятельствах.</w:t>
      </w:r>
      <w:proofErr w:type="gramEnd"/>
    </w:p>
    <w:p w:rsidR="00FE5E56" w:rsidRPr="00FE5E56" w:rsidRDefault="00FE5E56" w:rsidP="0093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7.3. В случае смерти работника Учреждения материальная помощь оказывается однократно одному члену его семьи, первым подавшему заявление об оказании материальной помощи с приложением свидетельства о смерти работника Учреждения и документов, подтверждающих их родство.</w:t>
      </w:r>
    </w:p>
    <w:p w:rsidR="00FE5E56" w:rsidRPr="00FE5E56" w:rsidRDefault="00FE5E56" w:rsidP="00FE5E5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Решение об оказании материальной помощи работнику и ее размере принимает руководитель Учреждения на основании письменного заявления работника, при представлении документов, подтверждающих наличие оснований для предоставления материальной помощи, при наличии </w:t>
      </w:r>
      <w:r w:rsidRPr="00FE5E56">
        <w:rPr>
          <w:rFonts w:ascii="Times New Roman" w:hAnsi="Times New Roman" w:cs="Times New Roman"/>
          <w:sz w:val="28"/>
          <w:szCs w:val="28"/>
        </w:rPr>
        <w:lastRenderedPageBreak/>
        <w:t>экономии фонда оплаты труда.</w:t>
      </w:r>
    </w:p>
    <w:p w:rsidR="00FE5E56" w:rsidRPr="00FE5E56" w:rsidRDefault="00FE5E56" w:rsidP="00FE5E5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Решение об оказании материальной помощи руководителю Учреждения и ее размере принимается Учредителем на основании письменного заявления руководителя Учреждения и представленных им Учредителю документов, подтверждающих наличие оснований для оказания материальной помощи, при наличии экономии фонда оплаты труда. </w:t>
      </w:r>
    </w:p>
    <w:p w:rsidR="00FE5E56" w:rsidRPr="00FE5E56" w:rsidRDefault="00FE5E56" w:rsidP="00FE5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       7.4. В конце календарного года работникам может выплачиваться премия в равном процентном отношении к должностному окладу с учетом установленных ежемесячных выплат.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E56" w:rsidRDefault="00FE5E56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5E56" w:rsidRDefault="00FE5E56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5E56" w:rsidRDefault="00FE5E56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5E56" w:rsidRDefault="00FE5E56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5E56" w:rsidRDefault="00FE5E56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77AE" w:rsidRDefault="009377AE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39DC" w:rsidRDefault="00AB39DC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5E56" w:rsidRPr="00FE5E56" w:rsidRDefault="00FE5E56" w:rsidP="00FE5E56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E5E56" w:rsidRPr="00FE5E56" w:rsidRDefault="00FE5E56" w:rsidP="00FE5E56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к Положению о системе оплаты труда и стимулирования работников муниципального</w:t>
      </w:r>
    </w:p>
    <w:p w:rsidR="00FE5E56" w:rsidRPr="00FE5E56" w:rsidRDefault="00FE5E56" w:rsidP="00FE5E56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 автономного учреждения «Стадион Авангард» Красноармейского района</w:t>
      </w:r>
    </w:p>
    <w:p w:rsidR="00FE5E56" w:rsidRPr="00FE5E56" w:rsidRDefault="00FE5E56" w:rsidP="00FE5E56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FE5E56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</w:p>
    <w:p w:rsidR="00FE5E56" w:rsidRPr="00FE5E56" w:rsidRDefault="00FE5E56" w:rsidP="00FE5E56">
      <w:pPr>
        <w:spacing w:after="0" w:line="240" w:lineRule="auto"/>
        <w:jc w:val="right"/>
        <w:outlineLvl w:val="2"/>
        <w:rPr>
          <w:rFonts w:ascii="Times New Roman" w:hAnsi="Times New Roman" w:cs="Times New Roman"/>
        </w:rPr>
      </w:pPr>
    </w:p>
    <w:p w:rsidR="00FE5E56" w:rsidRPr="00FE5E56" w:rsidRDefault="00FE5E56" w:rsidP="00FE5E56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Таблица 1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5E56">
        <w:rPr>
          <w:rFonts w:ascii="Times New Roman" w:hAnsi="Times New Roman" w:cs="Times New Roman"/>
          <w:b/>
          <w:i/>
          <w:sz w:val="28"/>
          <w:szCs w:val="28"/>
        </w:rPr>
        <w:t>Должностные оклады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E56">
        <w:rPr>
          <w:rFonts w:ascii="Times New Roman" w:hAnsi="Times New Roman" w:cs="Times New Roman"/>
          <w:b/>
          <w:i/>
          <w:sz w:val="28"/>
          <w:szCs w:val="28"/>
        </w:rPr>
        <w:t>руководителя муниципального автономного учреждения «Стадион Авангард» Красноармейского района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5E56">
        <w:rPr>
          <w:rFonts w:ascii="Times New Roman" w:hAnsi="Times New Roman" w:cs="Times New Roman"/>
          <w:b/>
          <w:i/>
          <w:iCs/>
          <w:sz w:val="28"/>
          <w:szCs w:val="28"/>
        </w:rPr>
        <w:t>Саратовской област</w:t>
      </w:r>
      <w:r w:rsidR="009377AE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24" w:type="dxa"/>
        <w:tblInd w:w="-34" w:type="dxa"/>
        <w:tblLook w:val="04A0"/>
      </w:tblPr>
      <w:tblGrid>
        <w:gridCol w:w="713"/>
        <w:gridCol w:w="4616"/>
        <w:gridCol w:w="4095"/>
      </w:tblGrid>
      <w:tr w:rsidR="00FE5E56" w:rsidRPr="00FE5E56" w:rsidTr="009377AE">
        <w:trPr>
          <w:cantSplit/>
          <w:trHeight w:val="329"/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E5E56" w:rsidRPr="00FE5E56" w:rsidTr="009377AE">
        <w:trPr>
          <w:cantSplit/>
          <w:trHeight w:val="686"/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56" w:rsidRPr="00FE5E56" w:rsidRDefault="00FE5E56" w:rsidP="0093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E5E5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56" w:rsidRPr="009377AE" w:rsidRDefault="00FE5E56" w:rsidP="0093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E5E56">
              <w:rPr>
                <w:rFonts w:ascii="Times New Roman" w:hAnsi="Times New Roman" w:cs="Times New Roman"/>
                <w:sz w:val="27"/>
                <w:szCs w:val="27"/>
              </w:rPr>
              <w:t>1912</w:t>
            </w:r>
            <w:r w:rsidR="009377A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FE5E56" w:rsidRPr="00FE5E56" w:rsidRDefault="00FE5E56" w:rsidP="00FE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FE5E56" w:rsidRPr="00FE5E56" w:rsidRDefault="00FE5E56" w:rsidP="00E66C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1. Должностные оклады заместителей руководителя учреждения устанавливаются на 5 процентов ниже должностного оклада руководителя.</w:t>
      </w:r>
    </w:p>
    <w:p w:rsidR="00FE5E56" w:rsidRPr="00FE5E56" w:rsidRDefault="00FE5E56" w:rsidP="00FE5E5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5E56" w:rsidRPr="00FE5E56" w:rsidRDefault="00FE5E56" w:rsidP="00FE5E5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E56" w:rsidRPr="00FE5E56" w:rsidRDefault="00FE5E56" w:rsidP="00FE5E56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E5E56">
        <w:rPr>
          <w:rFonts w:ascii="Times New Roman" w:hAnsi="Times New Roman" w:cs="Times New Roman"/>
          <w:sz w:val="28"/>
          <w:szCs w:val="28"/>
        </w:rPr>
        <w:t>Таблица 2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5E56">
        <w:rPr>
          <w:rFonts w:ascii="Times New Roman" w:hAnsi="Times New Roman" w:cs="Times New Roman"/>
          <w:b/>
          <w:i/>
          <w:iCs/>
          <w:sz w:val="28"/>
          <w:szCs w:val="28"/>
        </w:rPr>
        <w:t>Оклады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5E56">
        <w:rPr>
          <w:rFonts w:ascii="Times New Roman" w:hAnsi="Times New Roman" w:cs="Times New Roman"/>
          <w:b/>
          <w:i/>
          <w:iCs/>
          <w:sz w:val="28"/>
          <w:szCs w:val="28"/>
        </w:rPr>
        <w:t>по профессиям рабочих муниципальных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5E5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автономных учреждений </w:t>
      </w:r>
    </w:p>
    <w:p w:rsidR="00FE5E56" w:rsidRPr="00FE5E56" w:rsidRDefault="00FE5E56" w:rsidP="00FE5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8" w:type="dxa"/>
        <w:tblInd w:w="70" w:type="dxa"/>
        <w:tblLook w:val="04A0"/>
      </w:tblPr>
      <w:tblGrid>
        <w:gridCol w:w="3521"/>
        <w:gridCol w:w="3068"/>
        <w:gridCol w:w="2989"/>
      </w:tblGrid>
      <w:tr w:rsidR="00FE5E56" w:rsidRPr="00FE5E56" w:rsidTr="00E66CF5">
        <w:trPr>
          <w:cantSplit/>
          <w:trHeight w:val="340"/>
          <w:tblHeader/>
        </w:trPr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Оклад в соответствии </w:t>
            </w:r>
            <w:r w:rsidRPr="00FE5E5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FE5E56" w:rsidRPr="00FE5E56" w:rsidTr="00E66CF5">
        <w:trPr>
          <w:cantSplit/>
          <w:trHeight w:val="227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E5E56" w:rsidRPr="00FE5E56" w:rsidTr="00E66CF5">
        <w:trPr>
          <w:cantSplit/>
          <w:trHeight w:val="340"/>
          <w:tblHeader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Рабочий по комплексному обслуживанию и ремонту зданий</w:t>
            </w:r>
          </w:p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FE5E56" w:rsidRPr="00FE5E56" w:rsidTr="00E66CF5">
        <w:trPr>
          <w:cantSplit/>
          <w:trHeight w:val="340"/>
          <w:tblHeader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E5E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</w:t>
            </w:r>
          </w:p>
          <w:p w:rsidR="00FE5E56" w:rsidRPr="00FE5E56" w:rsidRDefault="00FE5E56" w:rsidP="00E6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E5E56">
              <w:rPr>
                <w:rFonts w:ascii="Times New Roman" w:hAnsi="Times New Roman" w:cs="Times New Roman"/>
                <w:sz w:val="27"/>
                <w:szCs w:val="27"/>
              </w:rPr>
              <w:t>5460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5E56" w:rsidRPr="00FE5E56" w:rsidRDefault="00FE5E56" w:rsidP="00E66C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E5E56">
              <w:rPr>
                <w:rFonts w:ascii="Times New Roman" w:hAnsi="Times New Roman" w:cs="Times New Roman"/>
                <w:sz w:val="27"/>
                <w:szCs w:val="27"/>
              </w:rPr>
              <w:t>5644</w:t>
            </w:r>
          </w:p>
        </w:tc>
      </w:tr>
    </w:tbl>
    <w:p w:rsidR="00FE5E56" w:rsidRPr="00FE5E56" w:rsidRDefault="00FE5E56" w:rsidP="00FE5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FE5E56" w:rsidRPr="00FE5E56" w:rsidRDefault="00FE5E56" w:rsidP="00FE5E56">
      <w:pPr>
        <w:suppressAutoHyphens/>
        <w:spacing w:after="0" w:line="240" w:lineRule="auto"/>
        <w:ind w:firstLine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FE5E56" w:rsidRPr="00FE5E56" w:rsidRDefault="00FE5E56" w:rsidP="00FE5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24B" w:rsidRPr="00FE5E56" w:rsidRDefault="0092224B" w:rsidP="00FE5E56">
      <w:pPr>
        <w:spacing w:after="0" w:line="240" w:lineRule="auto"/>
        <w:rPr>
          <w:rFonts w:ascii="Times New Roman" w:hAnsi="Times New Roman" w:cs="Times New Roman"/>
        </w:rPr>
      </w:pPr>
    </w:p>
    <w:sectPr w:rsidR="0092224B" w:rsidRPr="00FE5E56" w:rsidSect="00BB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E56"/>
    <w:rsid w:val="002C6B87"/>
    <w:rsid w:val="002E7677"/>
    <w:rsid w:val="0092224B"/>
    <w:rsid w:val="009377AE"/>
    <w:rsid w:val="00AB39DC"/>
    <w:rsid w:val="00BB68E2"/>
    <w:rsid w:val="00DF66FE"/>
    <w:rsid w:val="00E66CF5"/>
    <w:rsid w:val="00FE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E2"/>
  </w:style>
  <w:style w:type="paragraph" w:styleId="1">
    <w:name w:val="heading 1"/>
    <w:basedOn w:val="a"/>
    <w:next w:val="a"/>
    <w:link w:val="10"/>
    <w:qFormat/>
    <w:rsid w:val="009377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5E56"/>
    <w:pPr>
      <w:widowControl w:val="0"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ConsPlusCell">
    <w:name w:val="ConsPlusCell"/>
    <w:qFormat/>
    <w:rsid w:val="00FE5E56"/>
    <w:pPr>
      <w:widowControl w:val="0"/>
      <w:spacing w:after="0" w:line="240" w:lineRule="auto"/>
    </w:pPr>
    <w:rPr>
      <w:rFonts w:ascii="Arial" w:eastAsia="Calibri" w:hAnsi="Arial" w:cs="Arial"/>
      <w:kern w:val="2"/>
      <w:sz w:val="18"/>
      <w:szCs w:val="18"/>
      <w:lang w:eastAsia="zh-CN"/>
    </w:rPr>
  </w:style>
  <w:style w:type="character" w:styleId="a4">
    <w:name w:val="Hyperlink"/>
    <w:basedOn w:val="a0"/>
    <w:uiPriority w:val="99"/>
    <w:semiHidden/>
    <w:unhideWhenUsed/>
    <w:rsid w:val="00FE5E5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377A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70508914652FEED58CAF2D1585CA4B21D2C6938F34603DA901D9C080A9E01E72143696B02FFA02650CEEI5C9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5268.1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E0E2D0F-B302-4513-87A0-60E2D1FD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2021-03-16T08:33:00Z</cp:lastPrinted>
  <dcterms:created xsi:type="dcterms:W3CDTF">2021-03-16T06:10:00Z</dcterms:created>
  <dcterms:modified xsi:type="dcterms:W3CDTF">2021-04-27T20:01:00Z</dcterms:modified>
</cp:coreProperties>
</file>