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6" w:type="dxa"/>
        <w:tblInd w:w="-432" w:type="dxa"/>
        <w:tblLook w:val="04A0"/>
      </w:tblPr>
      <w:tblGrid>
        <w:gridCol w:w="9896"/>
      </w:tblGrid>
      <w:tr w:rsidR="008C5215" w:rsidRPr="008C5215" w:rsidTr="008C5215">
        <w:trPr>
          <w:cantSplit/>
          <w:tblHeader/>
        </w:trPr>
        <w:tc>
          <w:tcPr>
            <w:tcW w:w="9896" w:type="dxa"/>
          </w:tcPr>
          <w:p w:rsidR="008C5215" w:rsidRPr="008C5215" w:rsidRDefault="008C5215" w:rsidP="008C521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2475" cy="1057275"/>
                  <wp:effectExtent l="19050" t="0" r="9525" b="0"/>
                  <wp:docPr id="2" name="Рисунок 1" descr="Герб Крас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рас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215" w:rsidRPr="008C5215" w:rsidRDefault="008C5215" w:rsidP="008C521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КРАСНОАРМЕЙСКОЕ  РАЙОННОЕ СОБРАНИЕ</w:t>
            </w:r>
          </w:p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Ш Е Н И Е</w:t>
            </w:r>
          </w:p>
          <w:tbl>
            <w:tblPr>
              <w:tblW w:w="5195" w:type="dxa"/>
              <w:tblLook w:val="04A0"/>
            </w:tblPr>
            <w:tblGrid>
              <w:gridCol w:w="595"/>
              <w:gridCol w:w="2211"/>
              <w:gridCol w:w="588"/>
              <w:gridCol w:w="1801"/>
            </w:tblGrid>
            <w:tr w:rsidR="008C5215" w:rsidRPr="008C5215" w:rsidTr="00D3695E">
              <w:trPr>
                <w:cantSplit/>
                <w:trHeight w:val="322"/>
              </w:trPr>
              <w:tc>
                <w:tcPr>
                  <w:tcW w:w="595" w:type="dxa"/>
                  <w:vMerge w:val="restart"/>
                  <w:vAlign w:val="bottom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19.02.2021</w:t>
                  </w:r>
                </w:p>
              </w:tc>
              <w:tc>
                <w:tcPr>
                  <w:tcW w:w="588" w:type="dxa"/>
                  <w:vMerge w:val="restart"/>
                  <w:vAlign w:val="bottom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52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01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</w:tr>
            <w:tr w:rsidR="008C5215" w:rsidRPr="008C5215" w:rsidTr="00D3695E">
              <w:trPr>
                <w:cantSplit/>
                <w:trHeight w:val="322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5215" w:rsidRPr="008C5215" w:rsidTr="00D3695E">
              <w:trPr>
                <w:cantSplit/>
                <w:trHeight w:val="322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8C5215" w:rsidRPr="008C5215" w:rsidRDefault="008C5215" w:rsidP="00D369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5215" w:rsidRDefault="008C5215" w:rsidP="008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Default="008C5215" w:rsidP="008C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системе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оплаты труда и стимулирования </w:t>
            </w: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автономного учреждения «Стадион Авангард» </w:t>
            </w:r>
          </w:p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района Саратовской области</w:t>
            </w:r>
          </w:p>
          <w:p w:rsidR="008C5215" w:rsidRDefault="008C5215" w:rsidP="008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Default="008C5215" w:rsidP="008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Default="008C5215" w:rsidP="008C52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В соответствии с Трудовым кодексом Российской Федерации, ст. 53 Федерального закона от 06 октября 2003 года № 131-ФЗ «Об общих принципах самоуправления в Российской Федерации, Федеральным законом от 03.11.2006 года № 174-ФЗ «Об автономных учреждениях», Уставом Красноармейского муниципального района, Постановлением администрации Красноармейского муниципального района Саратовской области от 27 января 2021 г. № 54 «О создании муниципального автономного  учреждения «Стадион Авангард» Красноармейского района Саратовской</w:t>
            </w:r>
            <w:proofErr w:type="gramEnd"/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Красноармейское районное Собрание </w:t>
            </w: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РЕШИЛО:</w:t>
            </w:r>
          </w:p>
          <w:p w:rsidR="008C5215" w:rsidRDefault="008C5215" w:rsidP="008C52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1.Утвердить Положение о системе оплаты труда и стимулирования работников муниципального автономного учреждения «Стадион Авангард» Красноармейского  района Саратовской области, согласно приложению.</w:t>
            </w:r>
          </w:p>
          <w:p w:rsidR="008C5215" w:rsidRDefault="008C5215" w:rsidP="008C52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2.Опубликовать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      </w:r>
          </w:p>
          <w:p w:rsidR="008C5215" w:rsidRPr="008C5215" w:rsidRDefault="008C5215" w:rsidP="008C521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3. Настоящее решение вступает в силу с момента принятия и распространяется на </w:t>
            </w:r>
            <w:proofErr w:type="gramStart"/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правоотношения</w:t>
            </w:r>
            <w:proofErr w:type="gramEnd"/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 возникшие с 8 февраля 2021 года.</w:t>
            </w:r>
          </w:p>
          <w:p w:rsidR="008C5215" w:rsidRDefault="008C5215" w:rsidP="008C5215">
            <w:pPr>
              <w:spacing w:after="0" w:line="240" w:lineRule="auto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Default="008C5215" w:rsidP="008C5215">
            <w:pPr>
              <w:spacing w:after="0" w:line="240" w:lineRule="auto"/>
              <w:ind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Pr="008C5215" w:rsidRDefault="008C5215" w:rsidP="008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Pr="008C5215" w:rsidRDefault="008C5215" w:rsidP="008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215" w:rsidRPr="008C5215" w:rsidRDefault="008C5215" w:rsidP="008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Л.В. Герасимова                              </w:t>
            </w:r>
          </w:p>
          <w:p w:rsidR="008C5215" w:rsidRDefault="008C5215" w:rsidP="008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Pr="008C5215" w:rsidRDefault="008C5215" w:rsidP="008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C5215" w:rsidRPr="008C5215" w:rsidRDefault="008C5215" w:rsidP="008C5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А.И.Зотов</w:t>
            </w:r>
          </w:p>
          <w:p w:rsidR="008C5215" w:rsidRPr="008C5215" w:rsidRDefault="008C5215" w:rsidP="008C52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Pr="008C5215" w:rsidRDefault="008C5215" w:rsidP="008C52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Pr="008C5215" w:rsidRDefault="008C5215" w:rsidP="008C52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Pr="008C5215" w:rsidRDefault="008C5215" w:rsidP="008C52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Pr="008C5215" w:rsidRDefault="008C5215" w:rsidP="008C52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Pr="008C5215" w:rsidRDefault="008C5215" w:rsidP="008C52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15" w:rsidRPr="008C5215" w:rsidRDefault="008C5215" w:rsidP="008C52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Приложение к решению районного Собрания</w:t>
            </w:r>
          </w:p>
          <w:p w:rsidR="008C5215" w:rsidRPr="008C5215" w:rsidRDefault="008C5215" w:rsidP="008C5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от _____________ № ______</w:t>
            </w:r>
          </w:p>
        </w:tc>
      </w:tr>
    </w:tbl>
    <w:p w:rsidR="008C5215" w:rsidRDefault="008C5215" w:rsidP="008C5215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lastRenderedPageBreak/>
        <w:t xml:space="preserve">Приложение </w:t>
      </w:r>
    </w:p>
    <w:p w:rsidR="008C5215" w:rsidRDefault="008C5215" w:rsidP="008C5215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 решению Красноармейского районного Собрания</w:t>
      </w:r>
    </w:p>
    <w:p w:rsidR="008C5215" w:rsidRPr="008C5215" w:rsidRDefault="008C5215" w:rsidP="008C5215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от 19.02.2021г. № 17</w:t>
      </w:r>
    </w:p>
    <w:p w:rsidR="008C5215" w:rsidRDefault="008C5215" w:rsidP="008C52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215" w:rsidRDefault="008C5215" w:rsidP="008C52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215" w:rsidRPr="008C5215" w:rsidRDefault="008C5215" w:rsidP="008C52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215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215">
        <w:rPr>
          <w:rFonts w:ascii="Times New Roman" w:eastAsia="Calibri" w:hAnsi="Times New Roman" w:cs="Times New Roman"/>
          <w:b/>
          <w:sz w:val="28"/>
          <w:szCs w:val="28"/>
        </w:rPr>
        <w:t xml:space="preserve"> о системе оплаты труда и стимулирования работников муниципального автономного учреждения «Стадион Авангард» Красноармейс</w:t>
      </w:r>
      <w:r>
        <w:rPr>
          <w:rFonts w:ascii="Times New Roman" w:eastAsia="Calibri" w:hAnsi="Times New Roman" w:cs="Times New Roman"/>
          <w:b/>
          <w:sz w:val="28"/>
          <w:szCs w:val="28"/>
        </w:rPr>
        <w:t>кого района Саратовской области</w:t>
      </w:r>
    </w:p>
    <w:p w:rsidR="008C5215" w:rsidRPr="008C5215" w:rsidRDefault="008C5215" w:rsidP="008C52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5215" w:rsidRPr="008C5215" w:rsidRDefault="008C5215" w:rsidP="008C5215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C5215">
        <w:rPr>
          <w:rFonts w:ascii="Times New Roman" w:eastAsia="Calibri" w:hAnsi="Times New Roman" w:cs="Times New Roman"/>
          <w:b/>
          <w:sz w:val="28"/>
          <w:szCs w:val="28"/>
        </w:rPr>
        <w:t>Раздел 1. Общие положения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1.1. Настоящее Положение разработано в соответствии с Трудовым Кодексом Российской Федерации и применяется при определении заработной платы работников муниципального автономного учреждения «Стадион Авангард» Красноармейского района Саратовской области (далее – учреждения) и включает в себя: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размеры должностных окладов (окладов, ставок заработной платы) работников;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наименование, условия осуществления и размеры выплат компенсационного характера;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наименование, условия осуществления выплат стимулирующего характера.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1.2. Оплата труда работников, занятых по совместительству, а также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 xml:space="preserve">на условиях неполного рабочего времени или неполной рабочей недели, производится пропорционально отработанному времени в зависимости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 xml:space="preserve">от выработки либо на других условиях, определенных трудовым договором. Определение размеров заработной платы по основной должности, а также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по должности, занимаемой в порядке совместительства, производится раздельно по каждой из должностей.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Трудовым Кодексом Российской Федерации месячная заработная плата работника, полностью отработавшего за этот период норму рабочего времени  и выполнившего нормы труда (трудовые обязанности), не может быть ниже минимального </w:t>
      </w:r>
      <w:proofErr w:type="gramStart"/>
      <w:r w:rsidRPr="008C5215">
        <w:rPr>
          <w:rFonts w:ascii="Times New Roman" w:eastAsia="Calibri" w:hAnsi="Times New Roman" w:cs="Times New Roman"/>
          <w:sz w:val="28"/>
          <w:szCs w:val="28"/>
        </w:rPr>
        <w:t>размера оплаты труда</w:t>
      </w:r>
      <w:proofErr w:type="gramEnd"/>
      <w:r w:rsidRPr="008C52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215" w:rsidRPr="008C5215" w:rsidRDefault="008C5215" w:rsidP="008C5215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C5215">
        <w:rPr>
          <w:rFonts w:ascii="Times New Roman" w:eastAsia="Calibri" w:hAnsi="Times New Roman" w:cs="Times New Roman"/>
          <w:b/>
          <w:sz w:val="28"/>
          <w:szCs w:val="28"/>
        </w:rPr>
        <w:t>Раздел 2. Порядок формирования должностных окладов</w:t>
      </w:r>
    </w:p>
    <w:p w:rsidR="008C5215" w:rsidRPr="008C5215" w:rsidRDefault="008C5215" w:rsidP="008C5215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C5215">
        <w:rPr>
          <w:rFonts w:ascii="Times New Roman" w:eastAsia="Calibri" w:hAnsi="Times New Roman" w:cs="Times New Roman"/>
          <w:b/>
          <w:sz w:val="28"/>
          <w:szCs w:val="28"/>
        </w:rPr>
        <w:t>(окладов, ставок заработной платы)</w:t>
      </w:r>
    </w:p>
    <w:p w:rsidR="008C5215" w:rsidRPr="008C5215" w:rsidRDefault="008C5215" w:rsidP="00B30DC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2.1. Должностные оклады (оклады, ставки заработной платы) специалистов, служащих и рабочих учреждения определяются в соответствии с </w:t>
      </w:r>
      <w:hyperlink r:id="rId7" w:history="1">
        <w:r w:rsidRPr="008C5215">
          <w:rPr>
            <w:rStyle w:val="a7"/>
            <w:rFonts w:ascii="Times New Roman" w:eastAsia="Calibri" w:hAnsi="Times New Roman" w:cs="Times New Roman"/>
            <w:sz w:val="28"/>
            <w:szCs w:val="28"/>
          </w:rPr>
          <w:t>приложением № 1</w:t>
        </w:r>
      </w:hyperlink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Положению.</w:t>
      </w:r>
    </w:p>
    <w:p w:rsidR="008C5215" w:rsidRPr="00B30DC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DC5">
        <w:rPr>
          <w:rFonts w:ascii="Times New Roman" w:eastAsia="Calibri" w:hAnsi="Times New Roman" w:cs="Times New Roman"/>
          <w:sz w:val="28"/>
          <w:szCs w:val="28"/>
        </w:rPr>
        <w:t xml:space="preserve">Должностные оклады (ставки заработной платы) работников устанавливаются для лиц, имеющих высшее профессиональное </w:t>
      </w:r>
      <w:r w:rsidRPr="00B30DC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образование, в соответствии с таблицами  </w:t>
      </w:r>
      <w:hyperlink r:id="rId8" w:history="1">
        <w:r w:rsidRPr="00B30DC5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</w:rPr>
          <w:t>приложения № 1</w:t>
        </w:r>
      </w:hyperlink>
      <w:r w:rsidRPr="00B30DC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 настоящему</w:t>
      </w:r>
      <w:r w:rsidRPr="00B30DC5">
        <w:rPr>
          <w:rFonts w:ascii="Times New Roman" w:eastAsia="Calibri" w:hAnsi="Times New Roman" w:cs="Times New Roman"/>
          <w:sz w:val="28"/>
          <w:szCs w:val="28"/>
        </w:rPr>
        <w:t xml:space="preserve"> Положению.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Работникам при отсутствии квалификационной категории и не имеющим высшего профессионального</w:t>
      </w:r>
      <w:r w:rsidR="00B30DC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C5215">
        <w:rPr>
          <w:rFonts w:ascii="Times New Roman" w:eastAsia="Calibri" w:hAnsi="Times New Roman" w:cs="Times New Roman"/>
          <w:spacing w:val="-4"/>
          <w:sz w:val="28"/>
          <w:szCs w:val="28"/>
        </w:rPr>
        <w:t>образования, должностные оклады (ставки заработной платы) устанавливаются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 ниже на 5 процентов.</w:t>
      </w:r>
    </w:p>
    <w:p w:rsid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2.4.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Должностные оклады медицинских работников устанавливаются </w:t>
      </w:r>
      <w:r w:rsidRPr="008C52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соответствии с таблицей 3 </w:t>
      </w:r>
      <w:hyperlink r:id="rId9" w:history="1">
        <w:r w:rsidRPr="008C5215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</w:rPr>
          <w:t>приложения №</w:t>
        </w:r>
        <w:r w:rsidRPr="008C5215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  <w:lang w:val="en-US"/>
          </w:rPr>
          <w:t> </w:t>
        </w:r>
        <w:r w:rsidRPr="008C5215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</w:rPr>
          <w:t>1</w:t>
        </w:r>
      </w:hyperlink>
      <w:r w:rsidRPr="008C52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 настоящему Положению</w:t>
      </w:r>
      <w:r w:rsidRPr="008C52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2.5.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Оклады рабочих устанавливаются в соответствии с таблицей 4 </w:t>
      </w:r>
      <w:hyperlink r:id="rId10" w:history="1">
        <w:r w:rsidRPr="008C5215">
          <w:rPr>
            <w:rStyle w:val="a7"/>
            <w:rFonts w:ascii="Times New Roman" w:eastAsia="Calibri" w:hAnsi="Times New Roman" w:cs="Times New Roman"/>
            <w:sz w:val="28"/>
            <w:szCs w:val="28"/>
          </w:rPr>
          <w:t>приложения № 1</w:t>
        </w:r>
      </w:hyperlink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2.6.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gramStart"/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Рабочим, имеющим высший разряд согласно Единому тарифно-квалификационному справочнику работ и профессий рабочих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 xml:space="preserve">и выполняющим работы, предусмотренные этим разрядом, или высшей сложности, постоянно занятым на важных и ответственных работах </w:t>
      </w:r>
      <w:r w:rsidRPr="008C5215">
        <w:rPr>
          <w:rFonts w:ascii="Times New Roman" w:eastAsia="Calibri" w:hAnsi="Times New Roman" w:cs="Times New Roman"/>
          <w:spacing w:val="-4"/>
          <w:sz w:val="28"/>
          <w:szCs w:val="28"/>
        </w:rPr>
        <w:t>(высококвалифицированные рабочие), оклады устанавливаются руководителем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 учреждения по согласованию с представительным органом работников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в повышенных размерах согласно приложения № 1 к настоящему Положению.</w:t>
      </w:r>
      <w:proofErr w:type="gramEnd"/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2.7.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Работникам учреждения за специфику работы должностные оклады (оклады, ставки заработной платы) устанавливаются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 xml:space="preserve">в повышенном </w:t>
      </w:r>
      <w:hyperlink r:id="rId11" w:history="1">
        <w:r w:rsidRPr="008C5215">
          <w:rPr>
            <w:rStyle w:val="a7"/>
            <w:rFonts w:ascii="Times New Roman" w:eastAsia="Calibri" w:hAnsi="Times New Roman" w:cs="Times New Roman"/>
            <w:sz w:val="28"/>
            <w:szCs w:val="28"/>
          </w:rPr>
          <w:t>размере</w:t>
        </w:r>
      </w:hyperlink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приложением к настоящему Положению.</w:t>
      </w:r>
    </w:p>
    <w:p w:rsid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2.8. Оплата труда осуществляется: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работников учреждения – на основе требований квалификационных характеристик по должностям работников;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по должностям служащих – на основе требований квалификационных характеристик по общеотраслевым должностям служащих;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по профессиям рабочих – на основе тарифно-квалификационных требований по общеотраслевым профессиям рабочих.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C5215" w:rsidRPr="008C5215" w:rsidRDefault="008C5215" w:rsidP="008C5215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C5215">
        <w:rPr>
          <w:rFonts w:ascii="Times New Roman" w:eastAsia="Calibri" w:hAnsi="Times New Roman" w:cs="Times New Roman"/>
          <w:b/>
          <w:sz w:val="28"/>
          <w:szCs w:val="28"/>
        </w:rPr>
        <w:t>Раздел 3. Выплаты компенсационного характера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3.1.Работникам муниципального автономного учреждения осуществляются следующие виды выплат компенсационного характера: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выплаты работникам, занятым на тяжелых работах, работах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с вредными и (или) опасными, а также иными особыми условиями труда;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выплаты за работу в местностях с особыми климатическими условиями;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надбавки за работу со сведениями, составляющими государственную тайну, в соответствии с федеральным законодательством.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3.2.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Работникам, занятым на тяжелых работах, работах с вредными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и (или) опасными условиями труда, устанавливается доплата в соответствии с законодательством Российской Федерации.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Размеры доплат (но не ниже минимального размера повышения оплаты труда) устанавливаются: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lastRenderedPageBreak/>
        <w:t>До 12 процентов должностного оклада (оклада, ставки заработной платы) за работу с тяжелыми и вредными условиями труда с учетом выплат за квалификационную категорию, выслугу лет (стаж работы);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До 24 процента должностного оклада (оклада, ставки заработной платы) за работу с особо тяжелыми и особо вредными условиями труда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с учетом выплат за квалификационную категорию, выслугу лет (стаж  работы).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Конкретные размеры доплат определяются на основе аттестации рабочих мест и оценки условий труда на них в соответствии с законодательством.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Работодатель в соответствии с законодательством проводит аттестацию рабочих мест с целью разработки и реализации программы действий по обеспечению безопасных условий и охраны труда. Если по итогам аттестации рабочее место признается безопасным, то указанная доплата отменяется.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3.3.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Выплаты за работу в условиях, отклоняющихся </w:t>
      </w:r>
      <w:proofErr w:type="gramStart"/>
      <w:r w:rsidRPr="008C5215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 нормальных, включают в себя: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3.3.1. Доплата за совмещение профессий (должностей) устанавливается работнику при совмещении им профессий (должностей). Размер доплаты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3.3.2.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>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3.3.3.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Доплата за увеличение объема работы или исполнение обязанностей временно отсутствующего работника без освобождения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 xml:space="preserve">от работы, определенной трудовым договором, устанавливается работнику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 xml:space="preserve">в случае увеличения установленного ему объема работы или возложения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на него обязанностей временно отсутствующего работника.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3.3.4.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Начисление компенсационных выплат за выполнение работ в условиях, отклоняющихся от нормальных (за выполнение сверхурочных работ, работ в ночное время, а также за выполнение работ в выходные и нерабочие праздничные дни), осуществляется сверх минимального </w:t>
      </w:r>
      <w:proofErr w:type="gramStart"/>
      <w:r w:rsidRPr="008C5215">
        <w:rPr>
          <w:rFonts w:ascii="Times New Roman" w:eastAsia="Calibri" w:hAnsi="Times New Roman" w:cs="Times New Roman"/>
          <w:sz w:val="28"/>
          <w:szCs w:val="28"/>
        </w:rPr>
        <w:t>размера оплаты труда</w:t>
      </w:r>
      <w:proofErr w:type="gramEnd"/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 (минимальной заработной платы).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3.3.5. Доплата работникам, которым с их согласия вводится рабочий день с разделением смены на части (с перерывом в работе свыше 2 часов), устанавливается за отработанное время в эти дни из расчета должностного оклада по занимаемой должности. Время внутрисменного перерыва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в рабочее время не включается.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lastRenderedPageBreak/>
        <w:t>3.3.6.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>Доплата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5215">
        <w:rPr>
          <w:rFonts w:ascii="Times New Roman" w:eastAsia="Calibri" w:hAnsi="Times New Roman" w:cs="Times New Roman"/>
          <w:sz w:val="28"/>
          <w:szCs w:val="28"/>
        </w:rPr>
        <w:t>Размер доплаты составляет не менее одинарной части должностного оклада (оклада, ставки заработной платы) за час работы сверх должностного оклада (оклада, 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(оклада, ставки заработной платы) за час работы сверх должностного</w:t>
      </w:r>
      <w:proofErr w:type="gramEnd"/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 оклада (оклада, ставки заработной платы) за каждый час работы, если работа производилась сверх месячной нормы рабочего времени.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3.3.7. Доплата за сверхурочную работу производится в соответствии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8C5215" w:rsidRPr="008C5215" w:rsidRDefault="008C5215" w:rsidP="008C52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5215" w:rsidRPr="008C5215" w:rsidRDefault="008C5215" w:rsidP="008C5215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C5215">
        <w:rPr>
          <w:rFonts w:ascii="Times New Roman" w:eastAsia="Calibri" w:hAnsi="Times New Roman" w:cs="Times New Roman"/>
          <w:b/>
          <w:sz w:val="28"/>
          <w:szCs w:val="28"/>
        </w:rPr>
        <w:t>Раздел 4. Выплаты стимулирующего характера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4.1. Работникам муниципального автономного учреждения осуществляются следующие виды выплат стимулирующего характера: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выплаты за качество выполняемых работ;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выплаты за выслугу лет (стаж работы);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премиальные выплаты по итогам работы.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4.2. Выплаты за интенсивность и высокие результаты работы включают в себя: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4.2.1.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>Выплаты, устанавливаемые на постоянной основе: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ежемесячная надбавка водителям автомобилей за присвоенную квалификационную категорию (процентов от должностного оклада (ставки заработной платы): </w:t>
      </w:r>
      <w:proofErr w:type="gramEnd"/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водителям второго класса – 10%; водителям первого класса – 25%.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2) надбавка за участие в реализации национальных проектов, федеральных и областных целевых программ – 10%. 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Размер выплаты может устанавливаться как в абсолютном значении, так и в процентном отношении к должностному окладу (окладу, ставке заработной платы). Максимальным размером выплаты за интенсивность и высокие результаты работы не ограничены.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4.3. Премиальные выплаты по итогам работы включают в себя: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премии выплачиваются работникам единовременно по итогам выполнения особо важных и ответственных работ;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премии за качество, которая устанавливается работнику приказом по учреждению с учетом критериев, позволяющих оценить результативность и качество работы;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премии по итогам работы (за месяц, квартал, год).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При премировании по итогам работы (за месяц, квартал, год) учитывается: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инициатива, творчество и применение в работе современных форм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и методов организации труда;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выполнение порученной работы, связанной с обеспечением рабочего процесса или уставной деятельности учреждения;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достижение высоких результатов в работе за соответствующий период;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участие в инновационной деятельности;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качественная подготовка и своевременная сдача отчетности учреждения;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участие в соответствующем периоде в выполнении важных работ, мероприятий.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Единовременные премии могут предусматриваться к юбилейным датам, профессиональным праздникам.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pacing w:val="-4"/>
          <w:sz w:val="28"/>
          <w:szCs w:val="28"/>
        </w:rPr>
        <w:t>Порядок единовременного премирования определяется администрацией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 учреждения по согласованию с представительным органом работников.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Размер премий может устанавливаться как в абсолютном значении, так и в процентном отношении к должностному окладу (окладу, ставке заработной платы). Максимальным размером премии по итогам работы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не ограничены.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4.4.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Порядок и размер стимулирования работников учреждения  определяется администрацией учреждения по согласованию </w:t>
      </w:r>
      <w:r w:rsidRPr="008C5215">
        <w:rPr>
          <w:rFonts w:ascii="Times New Roman" w:eastAsia="Calibri" w:hAnsi="Times New Roman" w:cs="Times New Roman"/>
          <w:sz w:val="28"/>
          <w:szCs w:val="28"/>
        </w:rPr>
        <w:br/>
        <w:t>с первичной профсоюзной организацией или другим представительным органом работников.</w:t>
      </w:r>
    </w:p>
    <w:p w:rsidR="008C5215" w:rsidRPr="008C5215" w:rsidRDefault="008C5215" w:rsidP="008C5215">
      <w:pPr>
        <w:suppressAutoHyphens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215" w:rsidRPr="008C5215" w:rsidRDefault="008C5215" w:rsidP="008C5215">
      <w:pPr>
        <w:suppressAutoHyphens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b/>
          <w:sz w:val="28"/>
          <w:szCs w:val="28"/>
        </w:rPr>
        <w:t xml:space="preserve">Раздел 5. Оплата труда руководителя учреждения, </w:t>
      </w:r>
    </w:p>
    <w:p w:rsidR="008C5215" w:rsidRPr="008C5215" w:rsidRDefault="008C5215" w:rsidP="008C5215">
      <w:pPr>
        <w:suppressAutoHyphens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b/>
          <w:sz w:val="28"/>
          <w:szCs w:val="28"/>
        </w:rPr>
        <w:t>его заместителей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5.1.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>Оплата труда руководителя учреждения, его заместителей состоит из должностного оклада, выплат компенсационного и стимулирующего характера.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5.2.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>Должностные оклады руководителя учреждения, заместителя руководителя определяются в соответствии с таблицей 1 приложения № 1 к настоящему Положению.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5.3.</w:t>
      </w:r>
      <w:r w:rsidRPr="008C521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Размеры должностных окладов руководителей учреждений устанавливаются </w:t>
      </w:r>
      <w:proofErr w:type="gramStart"/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в зависимости от группы по оплате труда </w:t>
      </w:r>
      <w:r w:rsidRPr="008C5215">
        <w:rPr>
          <w:rFonts w:ascii="Times New Roman" w:eastAsia="Calibri" w:hAnsi="Times New Roman" w:cs="Times New Roman"/>
          <w:spacing w:val="-4"/>
          <w:sz w:val="28"/>
          <w:szCs w:val="28"/>
        </w:rPr>
        <w:t>руководителей в соответствии с приложением</w:t>
      </w:r>
      <w:proofErr w:type="gramEnd"/>
      <w:r w:rsidRPr="008C52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 настоящему Положению</w:t>
      </w:r>
      <w:r w:rsidRPr="008C52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>5.4. Выплаты компенсационного характера руководителям учреждений, их заместителям устанавливаются в процентах к должностным окладам или в абсолютных размерах с учетом условий труда в соответствии с федеральными законами, иными нормативными актами Российской Федерации, законами Саратовской области и иными нормативными правовыми актами Саратовской области.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t xml:space="preserve">5.5. Выплаты стимулирующего характера руководителям учреждения осуществляются с учетом исполнения ими целевых показателей эффективности работы учреждений, устанавливаемых органами исполнительной власти района, осуществляющими функции и полномочия учредителя. 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C5215">
        <w:rPr>
          <w:rFonts w:ascii="Times New Roman" w:eastAsia="Calibri" w:hAnsi="Times New Roman" w:cs="Times New Roman"/>
          <w:sz w:val="28"/>
          <w:szCs w:val="28"/>
        </w:rPr>
        <w:lastRenderedPageBreak/>
        <w:t>5.6. Выплаты стимулирующего характера заместителям руководителей учреждения устанавливаются в соответствии с разделом 5 настоящего Положения.</w:t>
      </w:r>
    </w:p>
    <w:p w:rsidR="008C5215" w:rsidRPr="008C5215" w:rsidRDefault="008C5215" w:rsidP="008C5215">
      <w:pPr>
        <w:suppressAutoHyphens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C5215" w:rsidRPr="008C5215" w:rsidRDefault="008C5215" w:rsidP="008C5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215" w:rsidRPr="008C5215" w:rsidRDefault="008C5215" w:rsidP="008C5215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C521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C5215" w:rsidRPr="008C5215" w:rsidRDefault="008C5215" w:rsidP="008C5215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8C5215">
        <w:rPr>
          <w:rFonts w:ascii="Times New Roman" w:hAnsi="Times New Roman" w:cs="Times New Roman"/>
          <w:sz w:val="28"/>
          <w:szCs w:val="28"/>
        </w:rPr>
        <w:t>к Положению о системе оплаты труда и стимулирования работников муниципального</w:t>
      </w:r>
    </w:p>
    <w:p w:rsidR="008C5215" w:rsidRPr="008C5215" w:rsidRDefault="008C5215" w:rsidP="008C5215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8C5215">
        <w:rPr>
          <w:rFonts w:ascii="Times New Roman" w:hAnsi="Times New Roman" w:cs="Times New Roman"/>
          <w:sz w:val="28"/>
          <w:szCs w:val="28"/>
        </w:rPr>
        <w:t xml:space="preserve">  автономного учреждения «Стадион Авангард» Красноармейского района</w:t>
      </w:r>
    </w:p>
    <w:p w:rsidR="008C5215" w:rsidRPr="008C5215" w:rsidRDefault="008C5215" w:rsidP="008C5215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8C5215">
        <w:rPr>
          <w:rFonts w:ascii="Times New Roman" w:hAnsi="Times New Roman" w:cs="Times New Roman"/>
          <w:sz w:val="28"/>
          <w:szCs w:val="28"/>
        </w:rPr>
        <w:t xml:space="preserve"> Саратовской области    </w:t>
      </w:r>
    </w:p>
    <w:p w:rsidR="008C5215" w:rsidRPr="008C5215" w:rsidRDefault="008C5215" w:rsidP="008C5215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C5215" w:rsidRPr="008C5215" w:rsidRDefault="008C5215" w:rsidP="008C5215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C5215">
        <w:rPr>
          <w:rFonts w:ascii="Times New Roman" w:hAnsi="Times New Roman" w:cs="Times New Roman"/>
          <w:sz w:val="28"/>
          <w:szCs w:val="28"/>
        </w:rPr>
        <w:t>Таблица 1</w:t>
      </w:r>
    </w:p>
    <w:p w:rsidR="008C5215" w:rsidRPr="008C521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5215">
        <w:rPr>
          <w:rFonts w:ascii="Times New Roman" w:hAnsi="Times New Roman" w:cs="Times New Roman"/>
          <w:b/>
          <w:i/>
          <w:sz w:val="28"/>
          <w:szCs w:val="28"/>
        </w:rPr>
        <w:t>Должностные оклады</w:t>
      </w:r>
    </w:p>
    <w:p w:rsidR="008C5215" w:rsidRPr="008C521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215">
        <w:rPr>
          <w:rFonts w:ascii="Times New Roman" w:hAnsi="Times New Roman" w:cs="Times New Roman"/>
          <w:b/>
          <w:i/>
          <w:sz w:val="28"/>
          <w:szCs w:val="28"/>
        </w:rPr>
        <w:t>руководителя муниципального автономного учреждения «Стадион Авангард» Красноармейского района</w:t>
      </w:r>
      <w:r w:rsidR="00B30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DC5" w:rsidRPr="00B30DC5">
        <w:rPr>
          <w:rFonts w:ascii="Times New Roman" w:hAnsi="Times New Roman" w:cs="Times New Roman"/>
          <w:b/>
          <w:i/>
          <w:sz w:val="28"/>
          <w:szCs w:val="28"/>
        </w:rPr>
        <w:t>Саратовской области</w:t>
      </w:r>
    </w:p>
    <w:p w:rsidR="008C5215" w:rsidRPr="008C521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4" w:type="dxa"/>
        <w:tblInd w:w="-34" w:type="dxa"/>
        <w:tblLook w:val="04A0"/>
      </w:tblPr>
      <w:tblGrid>
        <w:gridCol w:w="708"/>
        <w:gridCol w:w="4587"/>
        <w:gridCol w:w="4069"/>
      </w:tblGrid>
      <w:tr w:rsidR="008C5215" w:rsidRPr="008C5215" w:rsidTr="008C5215">
        <w:trPr>
          <w:cantSplit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8C5215" w:rsidRPr="008C5215" w:rsidTr="00B30DC5">
        <w:trPr>
          <w:cantSplit/>
          <w:trHeight w:val="529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15" w:rsidRPr="008C5215" w:rsidRDefault="008C5215" w:rsidP="008C52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0D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15" w:rsidRPr="008C5215" w:rsidRDefault="008C5215" w:rsidP="008C52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15" w:rsidRPr="008C5215" w:rsidRDefault="008C5215" w:rsidP="00B30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19120</w:t>
            </w:r>
          </w:p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8C5215" w:rsidRPr="008C5215" w:rsidRDefault="008C5215" w:rsidP="008C5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8C5215" w:rsidRPr="008C5215" w:rsidRDefault="008C5215" w:rsidP="008C521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5215">
        <w:rPr>
          <w:rFonts w:ascii="Times New Roman" w:hAnsi="Times New Roman" w:cs="Times New Roman"/>
          <w:sz w:val="28"/>
          <w:szCs w:val="28"/>
        </w:rPr>
        <w:t>1. Должностные оклады заместителей руководителя учреждения устанавливаются на 5 процентов ниже должностного оклада руководителя.</w:t>
      </w:r>
    </w:p>
    <w:p w:rsidR="008C5215" w:rsidRPr="008C5215" w:rsidRDefault="008C5215" w:rsidP="008C521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5215" w:rsidRPr="008C5215" w:rsidRDefault="008C5215" w:rsidP="008C5215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C5215">
        <w:rPr>
          <w:rFonts w:ascii="Times New Roman" w:hAnsi="Times New Roman" w:cs="Times New Roman"/>
          <w:sz w:val="28"/>
          <w:szCs w:val="28"/>
        </w:rPr>
        <w:t>Таблица 2</w:t>
      </w:r>
    </w:p>
    <w:p w:rsidR="008C5215" w:rsidRPr="00B30DC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0DC5">
        <w:rPr>
          <w:rFonts w:ascii="Times New Roman" w:hAnsi="Times New Roman" w:cs="Times New Roman"/>
          <w:b/>
          <w:bCs/>
          <w:i/>
          <w:sz w:val="28"/>
          <w:szCs w:val="28"/>
        </w:rPr>
        <w:t>Должностные оклады (ставки заработной платы)</w:t>
      </w:r>
    </w:p>
    <w:p w:rsidR="008C5215" w:rsidRPr="00B30DC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0DC5">
        <w:rPr>
          <w:rFonts w:ascii="Times New Roman" w:hAnsi="Times New Roman" w:cs="Times New Roman"/>
          <w:b/>
          <w:bCs/>
          <w:i/>
          <w:sz w:val="28"/>
          <w:szCs w:val="28"/>
        </w:rPr>
        <w:t>работников муниципального автономного</w:t>
      </w:r>
    </w:p>
    <w:p w:rsidR="008C5215" w:rsidRPr="00B30DC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0DC5">
        <w:rPr>
          <w:rFonts w:ascii="Times New Roman" w:hAnsi="Times New Roman" w:cs="Times New Roman"/>
          <w:b/>
          <w:bCs/>
          <w:i/>
          <w:sz w:val="28"/>
          <w:szCs w:val="28"/>
        </w:rPr>
        <w:t>учреждения</w:t>
      </w:r>
    </w:p>
    <w:p w:rsidR="008C5215" w:rsidRPr="008C521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5" w:type="dxa"/>
        <w:tblLook w:val="04A0"/>
      </w:tblPr>
      <w:tblGrid>
        <w:gridCol w:w="667"/>
        <w:gridCol w:w="6445"/>
        <w:gridCol w:w="2243"/>
      </w:tblGrid>
      <w:tr w:rsidR="008C5215" w:rsidRPr="008C5215" w:rsidTr="008C5215">
        <w:trPr>
          <w:cantSplit/>
          <w:trHeight w:val="548"/>
          <w:tblHeader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оклад </w:t>
            </w:r>
            <w:r w:rsidRPr="008C521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(ставка </w:t>
            </w:r>
            <w:r w:rsidRPr="008C521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заработной платы</w:t>
            </w: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) (рублей)</w:t>
            </w:r>
          </w:p>
        </w:tc>
      </w:tr>
      <w:tr w:rsidR="008C5215" w:rsidRPr="008C5215" w:rsidTr="008C5215">
        <w:trPr>
          <w:cantSplit/>
          <w:trHeight w:val="665"/>
          <w:tblHeader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15" w:rsidRPr="008C5215" w:rsidRDefault="008C5215" w:rsidP="008C52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215" w:rsidRPr="008C5215" w:rsidRDefault="008C5215" w:rsidP="008C52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Кассир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15" w:rsidRPr="008C5215" w:rsidRDefault="008C5215" w:rsidP="00B3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4776</w:t>
            </w:r>
          </w:p>
        </w:tc>
      </w:tr>
    </w:tbl>
    <w:p w:rsidR="008C5215" w:rsidRPr="008C5215" w:rsidRDefault="008C5215" w:rsidP="008C521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8C5215" w:rsidRDefault="008C5215" w:rsidP="008C5215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C5215" w:rsidRDefault="008C5215" w:rsidP="008C5215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C5215" w:rsidRDefault="008C5215" w:rsidP="008C5215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C5215" w:rsidRDefault="008C5215" w:rsidP="008C5215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C5215" w:rsidRDefault="008C5215" w:rsidP="008C5215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C5215" w:rsidRPr="008C5215" w:rsidRDefault="008C5215" w:rsidP="008C5215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C5215">
        <w:rPr>
          <w:rFonts w:ascii="Times New Roman" w:hAnsi="Times New Roman" w:cs="Times New Roman"/>
          <w:sz w:val="28"/>
          <w:szCs w:val="28"/>
        </w:rPr>
        <w:t>Таблица 3</w:t>
      </w:r>
    </w:p>
    <w:p w:rsidR="008C5215" w:rsidRPr="00B30DC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0DC5">
        <w:rPr>
          <w:rFonts w:ascii="Times New Roman" w:hAnsi="Times New Roman" w:cs="Times New Roman"/>
          <w:b/>
          <w:i/>
          <w:sz w:val="28"/>
          <w:szCs w:val="28"/>
        </w:rPr>
        <w:t>Должностные оклады</w:t>
      </w:r>
    </w:p>
    <w:p w:rsidR="008C5215" w:rsidRPr="00B30DC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B30DC5">
        <w:rPr>
          <w:rFonts w:ascii="Times New Roman" w:hAnsi="Times New Roman" w:cs="Times New Roman"/>
          <w:b/>
          <w:i/>
          <w:sz w:val="28"/>
          <w:szCs w:val="28"/>
        </w:rPr>
        <w:t>медицинских работников муниципального автономного</w:t>
      </w:r>
      <w:r w:rsidRPr="00B30DC5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учреждения</w:t>
      </w:r>
    </w:p>
    <w:p w:rsidR="008C5215" w:rsidRPr="008C521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84" w:type="dxa"/>
        <w:tblInd w:w="70" w:type="dxa"/>
        <w:tblLook w:val="04A0"/>
      </w:tblPr>
      <w:tblGrid>
        <w:gridCol w:w="541"/>
        <w:gridCol w:w="2974"/>
        <w:gridCol w:w="1439"/>
        <w:gridCol w:w="1439"/>
        <w:gridCol w:w="1439"/>
        <w:gridCol w:w="1452"/>
      </w:tblGrid>
      <w:tr w:rsidR="008C5215" w:rsidRPr="008C5215" w:rsidTr="008C5215">
        <w:trPr>
          <w:cantSplit/>
          <w:trHeight w:val="240"/>
          <w:tblHeader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5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8C5215" w:rsidRPr="008C5215" w:rsidTr="008C5215">
        <w:trPr>
          <w:cantSplit/>
          <w:trHeight w:val="36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215" w:rsidRPr="008C5215" w:rsidRDefault="008C5215" w:rsidP="008C5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215" w:rsidRPr="008C5215" w:rsidRDefault="008C5215" w:rsidP="008C5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высшая </w:t>
            </w: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</w:t>
            </w: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категории</w:t>
            </w:r>
          </w:p>
        </w:tc>
      </w:tr>
      <w:tr w:rsidR="008C5215" w:rsidRPr="008C5215" w:rsidTr="008C5215">
        <w:trPr>
          <w:cantSplit/>
          <w:trHeight w:val="20"/>
          <w:tblHeader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Врач-специалист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10246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9749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9253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8798</w:t>
            </w:r>
          </w:p>
        </w:tc>
      </w:tr>
      <w:tr w:rsidR="008C5215" w:rsidRPr="008C5215" w:rsidTr="008C5215">
        <w:trPr>
          <w:cantSplit/>
          <w:trHeight w:val="20"/>
          <w:tblHeader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лечебной </w:t>
            </w:r>
            <w:r w:rsidRPr="008C521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физкультуре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7964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7603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7254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6879</w:t>
            </w:r>
          </w:p>
        </w:tc>
      </w:tr>
      <w:tr w:rsidR="008C5215" w:rsidRPr="008C5215" w:rsidTr="008C5215">
        <w:trPr>
          <w:cantSplit/>
          <w:trHeight w:val="20"/>
          <w:tblHeader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9749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9253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8799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8343</w:t>
            </w:r>
          </w:p>
        </w:tc>
      </w:tr>
      <w:tr w:rsidR="008C5215" w:rsidRPr="008C5215" w:rsidTr="008C5215">
        <w:trPr>
          <w:cantSplit/>
          <w:trHeight w:val="20"/>
          <w:tblHeader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8798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8343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7964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7603</w:t>
            </w:r>
          </w:p>
        </w:tc>
      </w:tr>
      <w:tr w:rsidR="008C5215" w:rsidRPr="008C5215" w:rsidTr="008C5215">
        <w:trPr>
          <w:cantSplit/>
          <w:trHeight w:val="20"/>
          <w:tblHeader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9158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8703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8248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7869</w:t>
            </w:r>
          </w:p>
        </w:tc>
      </w:tr>
    </w:tbl>
    <w:p w:rsidR="008C5215" w:rsidRPr="008C5215" w:rsidRDefault="008C5215" w:rsidP="008C52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8C5215" w:rsidRPr="008C5215" w:rsidRDefault="008C5215" w:rsidP="008C5215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C5215">
        <w:rPr>
          <w:rFonts w:ascii="Times New Roman" w:hAnsi="Times New Roman" w:cs="Times New Roman"/>
          <w:sz w:val="28"/>
          <w:szCs w:val="28"/>
        </w:rPr>
        <w:t>Таблица 4</w:t>
      </w:r>
    </w:p>
    <w:p w:rsidR="008C5215" w:rsidRPr="00B30DC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0DC5">
        <w:rPr>
          <w:rFonts w:ascii="Times New Roman" w:hAnsi="Times New Roman" w:cs="Times New Roman"/>
          <w:b/>
          <w:i/>
          <w:sz w:val="28"/>
          <w:szCs w:val="28"/>
        </w:rPr>
        <w:t>Оклады</w:t>
      </w:r>
    </w:p>
    <w:p w:rsidR="008C5215" w:rsidRPr="00B30DC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0DC5">
        <w:rPr>
          <w:rFonts w:ascii="Times New Roman" w:hAnsi="Times New Roman" w:cs="Times New Roman"/>
          <w:b/>
          <w:i/>
          <w:sz w:val="28"/>
          <w:szCs w:val="28"/>
        </w:rPr>
        <w:t>по профессиям рабочих муниципальных</w:t>
      </w:r>
    </w:p>
    <w:p w:rsidR="008C5215" w:rsidRPr="00B30DC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0DC5">
        <w:rPr>
          <w:rFonts w:ascii="Times New Roman" w:hAnsi="Times New Roman" w:cs="Times New Roman"/>
          <w:b/>
          <w:i/>
          <w:sz w:val="28"/>
          <w:szCs w:val="28"/>
        </w:rPr>
        <w:t xml:space="preserve">автономных учреждений </w:t>
      </w:r>
    </w:p>
    <w:p w:rsidR="008C5215" w:rsidRPr="008C5215" w:rsidRDefault="008C5215" w:rsidP="008C5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8" w:type="dxa"/>
        <w:tblInd w:w="70" w:type="dxa"/>
        <w:tblLook w:val="04A0"/>
      </w:tblPr>
      <w:tblGrid>
        <w:gridCol w:w="3543"/>
        <w:gridCol w:w="3087"/>
        <w:gridCol w:w="3008"/>
      </w:tblGrid>
      <w:tr w:rsidR="008C5215" w:rsidRPr="008C5215" w:rsidTr="008C5215">
        <w:trPr>
          <w:cantSplit/>
          <w:trHeight w:val="360"/>
          <w:tblHeader/>
        </w:trPr>
        <w:tc>
          <w:tcPr>
            <w:tcW w:w="3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>Тип образовательного учреждения</w:t>
            </w:r>
          </w:p>
        </w:tc>
        <w:tc>
          <w:tcPr>
            <w:tcW w:w="6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Оклад в соответствии </w:t>
            </w:r>
            <w:r w:rsidRPr="008C521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 квалификационным разрядом (рублей)</w:t>
            </w:r>
          </w:p>
        </w:tc>
      </w:tr>
      <w:tr w:rsidR="008C5215" w:rsidRPr="008C5215" w:rsidTr="008C5215">
        <w:trPr>
          <w:cantSplit/>
          <w:trHeight w:val="24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215" w:rsidRPr="008C5215" w:rsidRDefault="008C5215" w:rsidP="008C52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8C5215" w:rsidRPr="008C5215" w:rsidTr="008C5215">
        <w:trPr>
          <w:cantSplit/>
          <w:trHeight w:val="360"/>
          <w:tblHeader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5215" w:rsidRPr="008C5215" w:rsidRDefault="008C5215" w:rsidP="008C521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B30DC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B30DC5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по обслуживанию зданий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5215" w:rsidRPr="00B30DC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B30DC5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по комплексному обслуживанию и ремонту зданий</w:t>
            </w:r>
          </w:p>
          <w:p w:rsidR="008C5215" w:rsidRPr="00B30DC5" w:rsidRDefault="008C5215" w:rsidP="008C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</w:tr>
      <w:tr w:rsidR="008C5215" w:rsidRPr="008C5215" w:rsidTr="008C5215">
        <w:trPr>
          <w:cantSplit/>
          <w:trHeight w:val="609"/>
          <w:tblHeader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5215" w:rsidRPr="008C5215" w:rsidRDefault="008C5215" w:rsidP="008C52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</w:t>
            </w:r>
          </w:p>
          <w:p w:rsidR="008C5215" w:rsidRPr="008C5215" w:rsidRDefault="008C5215" w:rsidP="008C52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5460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215" w:rsidRPr="008C5215" w:rsidRDefault="008C5215" w:rsidP="008C5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C5215">
              <w:rPr>
                <w:rFonts w:ascii="Times New Roman" w:hAnsi="Times New Roman" w:cs="Times New Roman"/>
                <w:sz w:val="28"/>
                <w:szCs w:val="28"/>
              </w:rPr>
              <w:t>5644</w:t>
            </w:r>
          </w:p>
        </w:tc>
      </w:tr>
    </w:tbl>
    <w:p w:rsidR="008C5215" w:rsidRPr="008C5215" w:rsidRDefault="008C5215" w:rsidP="008C5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8C5215" w:rsidRPr="008C5215" w:rsidRDefault="008C5215" w:rsidP="008C5215">
      <w:pPr>
        <w:suppressAutoHyphens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</w:p>
    <w:p w:rsidR="00BD06CE" w:rsidRPr="008C5215" w:rsidRDefault="00BD06CE" w:rsidP="008C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6CE" w:rsidRPr="008C5215" w:rsidSect="008C52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40A"/>
    <w:multiLevelType w:val="hybridMultilevel"/>
    <w:tmpl w:val="233AE396"/>
    <w:name w:val="Нумерованный список 5"/>
    <w:lvl w:ilvl="0" w:tplc="7A269CA8">
      <w:start w:val="1"/>
      <w:numFmt w:val="decimal"/>
      <w:lvlText w:val="%1."/>
      <w:lvlJc w:val="left"/>
      <w:pPr>
        <w:ind w:left="360" w:firstLine="0"/>
      </w:pPr>
    </w:lvl>
    <w:lvl w:ilvl="1" w:tplc="7C682A44">
      <w:start w:val="1"/>
      <w:numFmt w:val="decimal"/>
      <w:lvlText w:val="%2."/>
      <w:lvlJc w:val="left"/>
      <w:pPr>
        <w:ind w:left="1080" w:firstLine="0"/>
      </w:pPr>
    </w:lvl>
    <w:lvl w:ilvl="2" w:tplc="C6927DC8">
      <w:start w:val="1"/>
      <w:numFmt w:val="decimal"/>
      <w:lvlText w:val="%3."/>
      <w:lvlJc w:val="left"/>
      <w:pPr>
        <w:ind w:left="1800" w:firstLine="0"/>
      </w:pPr>
    </w:lvl>
    <w:lvl w:ilvl="3" w:tplc="CFE40956">
      <w:start w:val="1"/>
      <w:numFmt w:val="decimal"/>
      <w:lvlText w:val="%4."/>
      <w:lvlJc w:val="left"/>
      <w:pPr>
        <w:ind w:left="2520" w:firstLine="0"/>
      </w:pPr>
    </w:lvl>
    <w:lvl w:ilvl="4" w:tplc="76EC9C34">
      <w:start w:val="1"/>
      <w:numFmt w:val="decimal"/>
      <w:lvlText w:val="%5."/>
      <w:lvlJc w:val="left"/>
      <w:pPr>
        <w:ind w:left="3240" w:firstLine="0"/>
      </w:pPr>
    </w:lvl>
    <w:lvl w:ilvl="5" w:tplc="FDCE5BB4">
      <w:start w:val="1"/>
      <w:numFmt w:val="decimal"/>
      <w:lvlText w:val="%6."/>
      <w:lvlJc w:val="left"/>
      <w:pPr>
        <w:ind w:left="3960" w:firstLine="0"/>
      </w:pPr>
    </w:lvl>
    <w:lvl w:ilvl="6" w:tplc="86108BAE">
      <w:start w:val="1"/>
      <w:numFmt w:val="decimal"/>
      <w:lvlText w:val="%7."/>
      <w:lvlJc w:val="left"/>
      <w:pPr>
        <w:ind w:left="4680" w:firstLine="0"/>
      </w:pPr>
    </w:lvl>
    <w:lvl w:ilvl="7" w:tplc="181EA79C">
      <w:start w:val="1"/>
      <w:numFmt w:val="decimal"/>
      <w:lvlText w:val="%8."/>
      <w:lvlJc w:val="left"/>
      <w:pPr>
        <w:ind w:left="5400" w:firstLine="0"/>
      </w:pPr>
    </w:lvl>
    <w:lvl w:ilvl="8" w:tplc="7B7A7BE4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3AD671A"/>
    <w:multiLevelType w:val="hybridMultilevel"/>
    <w:tmpl w:val="2CA2C516"/>
    <w:name w:val="Нумерованный список 3"/>
    <w:lvl w:ilvl="0" w:tplc="7F9AD46A">
      <w:start w:val="1"/>
      <w:numFmt w:val="decimal"/>
      <w:lvlText w:val="%1."/>
      <w:lvlJc w:val="left"/>
      <w:pPr>
        <w:ind w:left="360" w:firstLine="0"/>
      </w:pPr>
    </w:lvl>
    <w:lvl w:ilvl="1" w:tplc="948E8FFA">
      <w:start w:val="1"/>
      <w:numFmt w:val="decimal"/>
      <w:lvlText w:val="%2."/>
      <w:lvlJc w:val="left"/>
      <w:pPr>
        <w:ind w:left="1080" w:firstLine="0"/>
      </w:pPr>
    </w:lvl>
    <w:lvl w:ilvl="2" w:tplc="EE361C24">
      <w:start w:val="1"/>
      <w:numFmt w:val="decimal"/>
      <w:lvlText w:val="%3."/>
      <w:lvlJc w:val="left"/>
      <w:pPr>
        <w:ind w:left="1800" w:firstLine="0"/>
      </w:pPr>
    </w:lvl>
    <w:lvl w:ilvl="3" w:tplc="F158476C">
      <w:start w:val="1"/>
      <w:numFmt w:val="decimal"/>
      <w:lvlText w:val="%4."/>
      <w:lvlJc w:val="left"/>
      <w:pPr>
        <w:ind w:left="2520" w:firstLine="0"/>
      </w:pPr>
    </w:lvl>
    <w:lvl w:ilvl="4" w:tplc="91A6218E">
      <w:start w:val="1"/>
      <w:numFmt w:val="decimal"/>
      <w:lvlText w:val="%5."/>
      <w:lvlJc w:val="left"/>
      <w:pPr>
        <w:ind w:left="3240" w:firstLine="0"/>
      </w:pPr>
    </w:lvl>
    <w:lvl w:ilvl="5" w:tplc="C73002E4">
      <w:start w:val="1"/>
      <w:numFmt w:val="decimal"/>
      <w:lvlText w:val="%6."/>
      <w:lvlJc w:val="left"/>
      <w:pPr>
        <w:ind w:left="3960" w:firstLine="0"/>
      </w:pPr>
    </w:lvl>
    <w:lvl w:ilvl="6" w:tplc="234EBF00">
      <w:start w:val="1"/>
      <w:numFmt w:val="decimal"/>
      <w:lvlText w:val="%7."/>
      <w:lvlJc w:val="left"/>
      <w:pPr>
        <w:ind w:left="4680" w:firstLine="0"/>
      </w:pPr>
    </w:lvl>
    <w:lvl w:ilvl="7" w:tplc="1324B4EE">
      <w:start w:val="1"/>
      <w:numFmt w:val="decimal"/>
      <w:lvlText w:val="%8."/>
      <w:lvlJc w:val="left"/>
      <w:pPr>
        <w:ind w:left="5400" w:firstLine="0"/>
      </w:pPr>
    </w:lvl>
    <w:lvl w:ilvl="8" w:tplc="7EF0485E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27104364"/>
    <w:multiLevelType w:val="hybridMultilevel"/>
    <w:tmpl w:val="AE8CD732"/>
    <w:lvl w:ilvl="0" w:tplc="098E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DB3919"/>
    <w:multiLevelType w:val="hybridMultilevel"/>
    <w:tmpl w:val="75940DDA"/>
    <w:name w:val="Нумерованный список 4"/>
    <w:lvl w:ilvl="0" w:tplc="BE22BCCC">
      <w:start w:val="1"/>
      <w:numFmt w:val="decimal"/>
      <w:lvlText w:val="%1."/>
      <w:lvlJc w:val="left"/>
      <w:pPr>
        <w:ind w:left="360" w:firstLine="0"/>
      </w:pPr>
    </w:lvl>
    <w:lvl w:ilvl="1" w:tplc="7DB2831C">
      <w:start w:val="1"/>
      <w:numFmt w:val="decimal"/>
      <w:lvlText w:val="%2."/>
      <w:lvlJc w:val="left"/>
      <w:pPr>
        <w:ind w:left="1080" w:firstLine="0"/>
      </w:pPr>
    </w:lvl>
    <w:lvl w:ilvl="2" w:tplc="4A62F586">
      <w:start w:val="1"/>
      <w:numFmt w:val="decimal"/>
      <w:lvlText w:val="%3."/>
      <w:lvlJc w:val="left"/>
      <w:pPr>
        <w:ind w:left="1800" w:firstLine="0"/>
      </w:pPr>
    </w:lvl>
    <w:lvl w:ilvl="3" w:tplc="C786F506">
      <w:start w:val="1"/>
      <w:numFmt w:val="decimal"/>
      <w:lvlText w:val="%4."/>
      <w:lvlJc w:val="left"/>
      <w:pPr>
        <w:ind w:left="2520" w:firstLine="0"/>
      </w:pPr>
    </w:lvl>
    <w:lvl w:ilvl="4" w:tplc="B164FFB2">
      <w:start w:val="1"/>
      <w:numFmt w:val="decimal"/>
      <w:lvlText w:val="%5."/>
      <w:lvlJc w:val="left"/>
      <w:pPr>
        <w:ind w:left="3240" w:firstLine="0"/>
      </w:pPr>
    </w:lvl>
    <w:lvl w:ilvl="5" w:tplc="1A1E447E">
      <w:start w:val="1"/>
      <w:numFmt w:val="decimal"/>
      <w:lvlText w:val="%6."/>
      <w:lvlJc w:val="left"/>
      <w:pPr>
        <w:ind w:left="3960" w:firstLine="0"/>
      </w:pPr>
    </w:lvl>
    <w:lvl w:ilvl="6" w:tplc="2416E282">
      <w:start w:val="1"/>
      <w:numFmt w:val="decimal"/>
      <w:lvlText w:val="%7."/>
      <w:lvlJc w:val="left"/>
      <w:pPr>
        <w:ind w:left="4680" w:firstLine="0"/>
      </w:pPr>
    </w:lvl>
    <w:lvl w:ilvl="7" w:tplc="2F7E830C">
      <w:start w:val="1"/>
      <w:numFmt w:val="decimal"/>
      <w:lvlText w:val="%8."/>
      <w:lvlJc w:val="left"/>
      <w:pPr>
        <w:ind w:left="5400" w:firstLine="0"/>
      </w:pPr>
    </w:lvl>
    <w:lvl w:ilvl="8" w:tplc="E794D6D4">
      <w:start w:val="1"/>
      <w:numFmt w:val="decimal"/>
      <w:lvlText w:val="%9."/>
      <w:lvlJc w:val="left"/>
      <w:pPr>
        <w:ind w:left="6120" w:firstLine="0"/>
      </w:pPr>
    </w:lvl>
  </w:abstractNum>
  <w:abstractNum w:abstractNumId="4">
    <w:nsid w:val="67B31847"/>
    <w:multiLevelType w:val="hybridMultilevel"/>
    <w:tmpl w:val="4558C4C2"/>
    <w:name w:val="Нумерованный список 2"/>
    <w:lvl w:ilvl="0" w:tplc="CEDEC114">
      <w:start w:val="1"/>
      <w:numFmt w:val="decimal"/>
      <w:lvlText w:val="%1."/>
      <w:lvlJc w:val="left"/>
      <w:pPr>
        <w:ind w:left="360" w:firstLine="0"/>
      </w:pPr>
    </w:lvl>
    <w:lvl w:ilvl="1" w:tplc="8FEA697E">
      <w:start w:val="1"/>
      <w:numFmt w:val="lowerLetter"/>
      <w:lvlText w:val="%2."/>
      <w:lvlJc w:val="left"/>
      <w:pPr>
        <w:ind w:left="1080" w:firstLine="0"/>
      </w:pPr>
    </w:lvl>
    <w:lvl w:ilvl="2" w:tplc="6598FDBC">
      <w:start w:val="1"/>
      <w:numFmt w:val="lowerRoman"/>
      <w:lvlText w:val="%3."/>
      <w:lvlJc w:val="left"/>
      <w:pPr>
        <w:ind w:left="1980" w:firstLine="0"/>
      </w:pPr>
    </w:lvl>
    <w:lvl w:ilvl="3" w:tplc="9D00A1A8">
      <w:start w:val="1"/>
      <w:numFmt w:val="decimal"/>
      <w:lvlText w:val="%4."/>
      <w:lvlJc w:val="left"/>
      <w:pPr>
        <w:ind w:left="2520" w:firstLine="0"/>
      </w:pPr>
    </w:lvl>
    <w:lvl w:ilvl="4" w:tplc="4000C4C2">
      <w:start w:val="1"/>
      <w:numFmt w:val="lowerLetter"/>
      <w:lvlText w:val="%5."/>
      <w:lvlJc w:val="left"/>
      <w:pPr>
        <w:ind w:left="3240" w:firstLine="0"/>
      </w:pPr>
    </w:lvl>
    <w:lvl w:ilvl="5" w:tplc="B866D948">
      <w:start w:val="1"/>
      <w:numFmt w:val="lowerRoman"/>
      <w:lvlText w:val="%6."/>
      <w:lvlJc w:val="left"/>
      <w:pPr>
        <w:ind w:left="4140" w:firstLine="0"/>
      </w:pPr>
    </w:lvl>
    <w:lvl w:ilvl="6" w:tplc="2AC08B74">
      <w:start w:val="1"/>
      <w:numFmt w:val="decimal"/>
      <w:lvlText w:val="%7."/>
      <w:lvlJc w:val="left"/>
      <w:pPr>
        <w:ind w:left="4680" w:firstLine="0"/>
      </w:pPr>
    </w:lvl>
    <w:lvl w:ilvl="7" w:tplc="84A2B16E">
      <w:start w:val="1"/>
      <w:numFmt w:val="lowerLetter"/>
      <w:lvlText w:val="%8."/>
      <w:lvlJc w:val="left"/>
      <w:pPr>
        <w:ind w:left="5400" w:firstLine="0"/>
      </w:pPr>
    </w:lvl>
    <w:lvl w:ilvl="8" w:tplc="6A887DB0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6964623D"/>
    <w:multiLevelType w:val="hybridMultilevel"/>
    <w:tmpl w:val="F306BE6A"/>
    <w:name w:val="Нумерованный список 1"/>
    <w:lvl w:ilvl="0" w:tplc="5C8E1874">
      <w:start w:val="1"/>
      <w:numFmt w:val="decimal"/>
      <w:lvlText w:val="%1."/>
      <w:lvlJc w:val="left"/>
      <w:pPr>
        <w:ind w:left="360" w:firstLine="0"/>
      </w:pPr>
    </w:lvl>
    <w:lvl w:ilvl="1" w:tplc="5B4869E6">
      <w:start w:val="1"/>
      <w:numFmt w:val="lowerLetter"/>
      <w:lvlText w:val="%2."/>
      <w:lvlJc w:val="left"/>
      <w:pPr>
        <w:ind w:left="1080" w:firstLine="0"/>
      </w:pPr>
    </w:lvl>
    <w:lvl w:ilvl="2" w:tplc="F86E218C">
      <w:start w:val="1"/>
      <w:numFmt w:val="lowerRoman"/>
      <w:lvlText w:val="%3."/>
      <w:lvlJc w:val="left"/>
      <w:pPr>
        <w:ind w:left="1980" w:firstLine="0"/>
      </w:pPr>
    </w:lvl>
    <w:lvl w:ilvl="3" w:tplc="77687190">
      <w:start w:val="1"/>
      <w:numFmt w:val="decimal"/>
      <w:lvlText w:val="%4."/>
      <w:lvlJc w:val="left"/>
      <w:pPr>
        <w:ind w:left="2520" w:firstLine="0"/>
      </w:pPr>
    </w:lvl>
    <w:lvl w:ilvl="4" w:tplc="2E2E0FB6">
      <w:start w:val="1"/>
      <w:numFmt w:val="lowerLetter"/>
      <w:lvlText w:val="%5."/>
      <w:lvlJc w:val="left"/>
      <w:pPr>
        <w:ind w:left="3240" w:firstLine="0"/>
      </w:pPr>
    </w:lvl>
    <w:lvl w:ilvl="5" w:tplc="3F4CD89E">
      <w:start w:val="1"/>
      <w:numFmt w:val="lowerRoman"/>
      <w:lvlText w:val="%6."/>
      <w:lvlJc w:val="left"/>
      <w:pPr>
        <w:ind w:left="4140" w:firstLine="0"/>
      </w:pPr>
    </w:lvl>
    <w:lvl w:ilvl="6" w:tplc="D5BAE07C">
      <w:start w:val="1"/>
      <w:numFmt w:val="decimal"/>
      <w:lvlText w:val="%7."/>
      <w:lvlJc w:val="left"/>
      <w:pPr>
        <w:ind w:left="4680" w:firstLine="0"/>
      </w:pPr>
    </w:lvl>
    <w:lvl w:ilvl="7" w:tplc="8DCEAED8">
      <w:start w:val="1"/>
      <w:numFmt w:val="lowerLetter"/>
      <w:lvlText w:val="%8."/>
      <w:lvlJc w:val="left"/>
      <w:pPr>
        <w:ind w:left="5400" w:firstLine="0"/>
      </w:pPr>
    </w:lvl>
    <w:lvl w:ilvl="8" w:tplc="090A3154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3C9"/>
    <w:rsid w:val="0007188C"/>
    <w:rsid w:val="00077F71"/>
    <w:rsid w:val="000C57F9"/>
    <w:rsid w:val="001B1813"/>
    <w:rsid w:val="00216AC6"/>
    <w:rsid w:val="002474D7"/>
    <w:rsid w:val="002F4A7E"/>
    <w:rsid w:val="003E36B9"/>
    <w:rsid w:val="004C6DF1"/>
    <w:rsid w:val="005835EB"/>
    <w:rsid w:val="005B55B7"/>
    <w:rsid w:val="00605772"/>
    <w:rsid w:val="006A471A"/>
    <w:rsid w:val="006B6E01"/>
    <w:rsid w:val="007158DD"/>
    <w:rsid w:val="00757E8A"/>
    <w:rsid w:val="00783874"/>
    <w:rsid w:val="00854948"/>
    <w:rsid w:val="00856A5A"/>
    <w:rsid w:val="00857EA9"/>
    <w:rsid w:val="00866F3D"/>
    <w:rsid w:val="008C13C9"/>
    <w:rsid w:val="008C5215"/>
    <w:rsid w:val="00902F32"/>
    <w:rsid w:val="0097366B"/>
    <w:rsid w:val="00994693"/>
    <w:rsid w:val="009B4B9B"/>
    <w:rsid w:val="00A2082B"/>
    <w:rsid w:val="00A403A8"/>
    <w:rsid w:val="00A86343"/>
    <w:rsid w:val="00B30DC5"/>
    <w:rsid w:val="00BB0213"/>
    <w:rsid w:val="00BD06CE"/>
    <w:rsid w:val="00C31E4F"/>
    <w:rsid w:val="00CC6105"/>
    <w:rsid w:val="00CD6A49"/>
    <w:rsid w:val="00D13E59"/>
    <w:rsid w:val="00DE59A3"/>
    <w:rsid w:val="00DE7D47"/>
    <w:rsid w:val="00DF1D87"/>
    <w:rsid w:val="00E24644"/>
    <w:rsid w:val="00E302C4"/>
    <w:rsid w:val="00E416AA"/>
    <w:rsid w:val="00E9176F"/>
    <w:rsid w:val="00EF17FF"/>
    <w:rsid w:val="00F32823"/>
    <w:rsid w:val="00FE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9B"/>
  </w:style>
  <w:style w:type="paragraph" w:styleId="1">
    <w:name w:val="heading 1"/>
    <w:basedOn w:val="a"/>
    <w:next w:val="a"/>
    <w:link w:val="10"/>
    <w:qFormat/>
    <w:rsid w:val="008C1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3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8C13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semiHidden/>
    <w:rsid w:val="008C13C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C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sid w:val="008C13C9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CharChar">
    <w:name w:val="Char Char"/>
    <w:basedOn w:val="a"/>
    <w:qFormat/>
    <w:rsid w:val="008C13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styleId="a6">
    <w:name w:val="No Spacing"/>
    <w:uiPriority w:val="1"/>
    <w:qFormat/>
    <w:rsid w:val="00757E8A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C52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0508914652FEED58CAF2D1585CA4B21D2C6938F34603DA901D9C080A9E01E72143696B02FFA02650CEEI5C9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F70508914652FEED58CAF2D1585CA4B21D2C6938F34603DA901D9C080A9E01E72143696B02FFA02650CEEI5C9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F70508914652FEED58CAF2D1585CA4B21D2C6938F34603DA901D9C080A9E01E72143696B02FFA026508E2I5C3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70508914652FEED58CAF2D1585CA4B21D2C6938F34603DA901D9C080A9E01E72143696B02FFA02650CEEI5C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70508914652FEED58CAF2D1585CA4B21D2C6938F34603DA901D9C080A9E01E72143696B02FFA02650CEEI5C9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DC42-257D-4028-B0DB-73221A65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8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2021-02-19T11:10:00Z</cp:lastPrinted>
  <dcterms:created xsi:type="dcterms:W3CDTF">2020-10-23T08:06:00Z</dcterms:created>
  <dcterms:modified xsi:type="dcterms:W3CDTF">2021-02-19T11:32:00Z</dcterms:modified>
</cp:coreProperties>
</file>