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54" w:rsidRDefault="00F81944" w:rsidP="00F56C5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1070818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70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33" w:rsidRPr="00DA6033" w:rsidRDefault="00DA6033" w:rsidP="00F56C54">
      <w:pPr>
        <w:jc w:val="center"/>
        <w:rPr>
          <w:sz w:val="28"/>
          <w:szCs w:val="28"/>
        </w:rPr>
      </w:pPr>
    </w:p>
    <w:p w:rsidR="00DA6033" w:rsidRPr="00E83357" w:rsidRDefault="00DA6033" w:rsidP="00DA6033">
      <w:pPr>
        <w:jc w:val="center"/>
        <w:rPr>
          <w:b/>
          <w:sz w:val="28"/>
          <w:szCs w:val="28"/>
        </w:rPr>
      </w:pPr>
      <w:r w:rsidRPr="00E83357">
        <w:rPr>
          <w:b/>
          <w:sz w:val="28"/>
          <w:szCs w:val="28"/>
        </w:rPr>
        <w:t>КРАСНОАРМЕЙСКОЕ РАЙОННОЕ СОБРАНИЕ</w:t>
      </w:r>
    </w:p>
    <w:p w:rsidR="00DA6033" w:rsidRDefault="00DA6033" w:rsidP="00E83357">
      <w:pPr>
        <w:jc w:val="center"/>
        <w:rPr>
          <w:b/>
          <w:sz w:val="28"/>
          <w:szCs w:val="28"/>
        </w:rPr>
      </w:pPr>
      <w:r w:rsidRPr="00E83357">
        <w:rPr>
          <w:b/>
          <w:sz w:val="28"/>
          <w:szCs w:val="28"/>
        </w:rPr>
        <w:t>САРАТОВСКОЙ ОБЛАСТИ</w:t>
      </w:r>
    </w:p>
    <w:p w:rsidR="00E061DC" w:rsidRPr="00E83357" w:rsidRDefault="00E061DC" w:rsidP="00E83357">
      <w:pPr>
        <w:jc w:val="center"/>
        <w:rPr>
          <w:b/>
          <w:sz w:val="28"/>
          <w:szCs w:val="28"/>
        </w:rPr>
      </w:pPr>
    </w:p>
    <w:p w:rsidR="00DA6033" w:rsidRPr="00E83357" w:rsidRDefault="00DA6033" w:rsidP="00DA6033">
      <w:pPr>
        <w:pStyle w:val="2"/>
        <w:rPr>
          <w:sz w:val="28"/>
          <w:szCs w:val="28"/>
        </w:rPr>
      </w:pPr>
      <w:proofErr w:type="gramStart"/>
      <w:r w:rsidRPr="00E83357">
        <w:rPr>
          <w:sz w:val="28"/>
          <w:szCs w:val="28"/>
        </w:rPr>
        <w:t>Р</w:t>
      </w:r>
      <w:proofErr w:type="gramEnd"/>
      <w:r w:rsidRPr="00E83357">
        <w:rPr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865"/>
        <w:gridCol w:w="540"/>
        <w:gridCol w:w="1558"/>
      </w:tblGrid>
      <w:tr w:rsidR="00DA6033" w:rsidRPr="003D299F" w:rsidTr="005D59C3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3D299F" w:rsidRDefault="00DA6033" w:rsidP="000E2CBE">
            <w:pPr>
              <w:rPr>
                <w:sz w:val="28"/>
                <w:szCs w:val="28"/>
              </w:rPr>
            </w:pPr>
          </w:p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от</w:t>
            </w:r>
          </w:p>
        </w:tc>
        <w:tc>
          <w:tcPr>
            <w:tcW w:w="1865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5D59C3" w:rsidP="000E2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03.10.2022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  <w:r w:rsidRPr="003D299F">
              <w:rPr>
                <w:sz w:val="28"/>
                <w:szCs w:val="28"/>
              </w:rPr>
              <w:t>№</w:t>
            </w:r>
          </w:p>
        </w:tc>
        <w:tc>
          <w:tcPr>
            <w:tcW w:w="1558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5F1643" w:rsidRDefault="005D59C3" w:rsidP="000E2C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DA6033" w:rsidRPr="003D299F" w:rsidTr="005D59C3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5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8" w:type="dxa"/>
            <w:vMerge/>
            <w:tcBorders>
              <w:bottom w:val="dotted" w:sz="4" w:space="0" w:color="auto"/>
            </w:tcBorders>
            <w:vAlign w:val="bottom"/>
          </w:tcPr>
          <w:p w:rsidR="00DA6033" w:rsidRPr="003D299F" w:rsidRDefault="00DA6033" w:rsidP="000E2CBE">
            <w:pPr>
              <w:jc w:val="center"/>
              <w:rPr>
                <w:sz w:val="28"/>
                <w:szCs w:val="28"/>
              </w:rPr>
            </w:pPr>
          </w:p>
        </w:tc>
      </w:tr>
    </w:tbl>
    <w:p w:rsidR="00DA6033" w:rsidRPr="003D299F" w:rsidRDefault="00DA6033" w:rsidP="00DA6033">
      <w:pPr>
        <w:rPr>
          <w:bCs/>
          <w:kern w:val="32"/>
          <w:sz w:val="28"/>
          <w:szCs w:val="28"/>
        </w:rPr>
      </w:pPr>
    </w:p>
    <w:p w:rsidR="00DA6033" w:rsidRPr="003D299F" w:rsidRDefault="00DA6033" w:rsidP="00DA6033">
      <w:pPr>
        <w:rPr>
          <w:b/>
          <w:sz w:val="28"/>
          <w:szCs w:val="28"/>
        </w:rPr>
      </w:pPr>
    </w:p>
    <w:p w:rsidR="00DA6033" w:rsidRPr="00E83357" w:rsidRDefault="00DA6033" w:rsidP="00E83357">
      <w:pPr>
        <w:rPr>
          <w:b/>
          <w:bCs/>
        </w:rPr>
      </w:pPr>
      <w:r w:rsidRPr="00DE5F1E">
        <w:rPr>
          <w:sz w:val="28"/>
        </w:rPr>
        <w:t xml:space="preserve">         </w:t>
      </w:r>
    </w:p>
    <w:p w:rsidR="00E061DC" w:rsidRDefault="00E061DC" w:rsidP="00E83357">
      <w:pPr>
        <w:jc w:val="both"/>
        <w:rPr>
          <w:rFonts w:eastAsia="Arial Unicode MS"/>
          <w:sz w:val="28"/>
          <w:szCs w:val="28"/>
        </w:rPr>
      </w:pPr>
    </w:p>
    <w:p w:rsidR="00E061DC" w:rsidRDefault="00E061DC" w:rsidP="00E83357">
      <w:pPr>
        <w:jc w:val="both"/>
        <w:rPr>
          <w:rFonts w:eastAsia="Arial Unicode MS"/>
          <w:sz w:val="28"/>
          <w:szCs w:val="28"/>
        </w:rPr>
      </w:pPr>
    </w:p>
    <w:p w:rsidR="008771C3" w:rsidRDefault="00DA6033" w:rsidP="00E83357">
      <w:pPr>
        <w:jc w:val="both"/>
        <w:rPr>
          <w:iCs/>
          <w:sz w:val="28"/>
          <w:szCs w:val="28"/>
        </w:rPr>
      </w:pPr>
      <w:r w:rsidRPr="00E83357">
        <w:rPr>
          <w:rFonts w:eastAsia="Arial Unicode MS"/>
          <w:sz w:val="28"/>
          <w:szCs w:val="28"/>
        </w:rPr>
        <w:t xml:space="preserve">О </w:t>
      </w:r>
      <w:r w:rsidRPr="00E83357">
        <w:rPr>
          <w:iCs/>
          <w:sz w:val="28"/>
          <w:szCs w:val="28"/>
        </w:rPr>
        <w:t>внесении изменений в Местные нормативы градостроительного проектиров</w:t>
      </w:r>
      <w:r w:rsidRPr="00E83357">
        <w:rPr>
          <w:iCs/>
          <w:sz w:val="28"/>
          <w:szCs w:val="28"/>
        </w:rPr>
        <w:t>а</w:t>
      </w:r>
      <w:r w:rsidRPr="00E83357">
        <w:rPr>
          <w:iCs/>
          <w:sz w:val="28"/>
          <w:szCs w:val="28"/>
        </w:rPr>
        <w:t xml:space="preserve">ния </w:t>
      </w:r>
      <w:proofErr w:type="spellStart"/>
      <w:r w:rsidRPr="00E83357">
        <w:rPr>
          <w:iCs/>
          <w:sz w:val="28"/>
          <w:szCs w:val="28"/>
        </w:rPr>
        <w:t>Сплавнухинского</w:t>
      </w:r>
      <w:proofErr w:type="spellEnd"/>
      <w:r w:rsidRPr="00E83357">
        <w:rPr>
          <w:iCs/>
          <w:sz w:val="28"/>
          <w:szCs w:val="28"/>
        </w:rPr>
        <w:t xml:space="preserve"> муниципального образования Красноармейского муниц</w:t>
      </w:r>
      <w:r w:rsidRPr="00E83357">
        <w:rPr>
          <w:iCs/>
          <w:sz w:val="28"/>
          <w:szCs w:val="28"/>
        </w:rPr>
        <w:t>и</w:t>
      </w:r>
      <w:r w:rsidRPr="00E83357">
        <w:rPr>
          <w:iCs/>
          <w:sz w:val="28"/>
          <w:szCs w:val="28"/>
        </w:rPr>
        <w:t>пального района</w:t>
      </w:r>
    </w:p>
    <w:p w:rsidR="00E83357" w:rsidRPr="00E83357" w:rsidRDefault="00E83357" w:rsidP="00E83357">
      <w:pPr>
        <w:jc w:val="both"/>
        <w:rPr>
          <w:iCs/>
          <w:sz w:val="28"/>
          <w:szCs w:val="28"/>
        </w:rPr>
      </w:pPr>
    </w:p>
    <w:p w:rsidR="00E83357" w:rsidRDefault="00FB388E" w:rsidP="00E83357">
      <w:pPr>
        <w:ind w:firstLine="426"/>
        <w:jc w:val="both"/>
        <w:rPr>
          <w:rFonts w:eastAsia="Arial Unicode MS"/>
          <w:b/>
          <w:sz w:val="28"/>
          <w:szCs w:val="28"/>
        </w:rPr>
      </w:pPr>
      <w:r>
        <w:rPr>
          <w:bCs/>
          <w:color w:val="000000"/>
          <w:sz w:val="28"/>
          <w:szCs w:val="28"/>
        </w:rPr>
        <w:t>В соответствии с</w:t>
      </w:r>
      <w:r w:rsidR="00DD514A">
        <w:rPr>
          <w:bCs/>
          <w:color w:val="000000"/>
          <w:sz w:val="28"/>
          <w:szCs w:val="28"/>
        </w:rPr>
        <w:t>о</w:t>
      </w:r>
      <w:r w:rsidR="00EE7790">
        <w:rPr>
          <w:bCs/>
          <w:color w:val="000000"/>
          <w:sz w:val="28"/>
          <w:szCs w:val="28"/>
        </w:rPr>
        <w:t xml:space="preserve"> статьёй </w:t>
      </w:r>
      <w:r w:rsidR="00DD514A">
        <w:rPr>
          <w:bCs/>
          <w:color w:val="000000"/>
          <w:sz w:val="28"/>
          <w:szCs w:val="28"/>
        </w:rPr>
        <w:t>29.4</w:t>
      </w:r>
      <w:r w:rsidR="00EE7790">
        <w:rPr>
          <w:bCs/>
          <w:color w:val="000000"/>
          <w:sz w:val="28"/>
          <w:szCs w:val="28"/>
        </w:rPr>
        <w:t xml:space="preserve"> </w:t>
      </w:r>
      <w:r w:rsidR="009E3064">
        <w:rPr>
          <w:bCs/>
          <w:color w:val="000000"/>
          <w:sz w:val="28"/>
          <w:szCs w:val="28"/>
        </w:rPr>
        <w:t>Градостроительного кодекса Российской Ф</w:t>
      </w:r>
      <w:r w:rsidR="009E3064">
        <w:rPr>
          <w:bCs/>
          <w:color w:val="000000"/>
          <w:sz w:val="28"/>
          <w:szCs w:val="28"/>
        </w:rPr>
        <w:t>е</w:t>
      </w:r>
      <w:r w:rsidR="009E3064">
        <w:rPr>
          <w:bCs/>
          <w:color w:val="000000"/>
          <w:sz w:val="28"/>
          <w:szCs w:val="28"/>
        </w:rPr>
        <w:t>дерации,</w:t>
      </w:r>
      <w:r>
        <w:rPr>
          <w:bCs/>
          <w:color w:val="000000"/>
          <w:sz w:val="28"/>
          <w:szCs w:val="28"/>
        </w:rPr>
        <w:t xml:space="preserve"> Федеральным законом от 06.10.2003 года № 131-ФЗ «Об общих при</w:t>
      </w:r>
      <w:r>
        <w:rPr>
          <w:bCs/>
          <w:color w:val="000000"/>
          <w:sz w:val="28"/>
          <w:szCs w:val="28"/>
        </w:rPr>
        <w:t>н</w:t>
      </w:r>
      <w:r>
        <w:rPr>
          <w:bCs/>
          <w:color w:val="000000"/>
          <w:sz w:val="28"/>
          <w:szCs w:val="28"/>
        </w:rPr>
        <w:t>ципах организации местного самоуправления в Российской Федера</w:t>
      </w:r>
      <w:r w:rsidR="000C726A">
        <w:rPr>
          <w:bCs/>
          <w:color w:val="000000"/>
          <w:sz w:val="28"/>
          <w:szCs w:val="28"/>
        </w:rPr>
        <w:t xml:space="preserve">ции», </w:t>
      </w:r>
      <w:r w:rsidR="00DD514A" w:rsidRPr="00DD514A">
        <w:rPr>
          <w:rFonts w:eastAsia="Arial Unicode MS"/>
          <w:sz w:val="28"/>
          <w:szCs w:val="28"/>
        </w:rPr>
        <w:t>Кра</w:t>
      </w:r>
      <w:r w:rsidR="00DD514A" w:rsidRPr="00DD514A">
        <w:rPr>
          <w:rFonts w:eastAsia="Arial Unicode MS"/>
          <w:sz w:val="28"/>
          <w:szCs w:val="28"/>
        </w:rPr>
        <w:t>с</w:t>
      </w:r>
      <w:r w:rsidR="00DD514A" w:rsidRPr="00DD514A">
        <w:rPr>
          <w:rFonts w:eastAsia="Arial Unicode MS"/>
          <w:sz w:val="28"/>
          <w:szCs w:val="28"/>
        </w:rPr>
        <w:t xml:space="preserve">ноармейское районное Собрание </w:t>
      </w:r>
      <w:r w:rsidR="00DD514A" w:rsidRPr="00DD514A">
        <w:rPr>
          <w:rFonts w:eastAsia="Arial Unicode MS"/>
          <w:b/>
          <w:sz w:val="28"/>
          <w:szCs w:val="28"/>
        </w:rPr>
        <w:t>РЕШИЛО:</w:t>
      </w:r>
    </w:p>
    <w:p w:rsidR="00E061DC" w:rsidRDefault="00E061DC" w:rsidP="00E83357">
      <w:pPr>
        <w:ind w:firstLine="426"/>
        <w:jc w:val="both"/>
        <w:rPr>
          <w:rFonts w:eastAsia="Arial Unicode MS"/>
          <w:sz w:val="28"/>
          <w:szCs w:val="28"/>
        </w:rPr>
      </w:pPr>
    </w:p>
    <w:p w:rsidR="00CF0BCC" w:rsidRPr="00E83357" w:rsidRDefault="00CF0BCC" w:rsidP="00E83357">
      <w:pPr>
        <w:ind w:firstLine="426"/>
        <w:jc w:val="both"/>
        <w:rPr>
          <w:rFonts w:eastAsia="Arial Unicode MS"/>
          <w:sz w:val="28"/>
          <w:szCs w:val="28"/>
        </w:rPr>
      </w:pPr>
      <w:r w:rsidRPr="00CF0B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gramStart"/>
      <w:r w:rsidRPr="00CF0BCC">
        <w:rPr>
          <w:sz w:val="28"/>
          <w:szCs w:val="28"/>
        </w:rPr>
        <w:t xml:space="preserve">Внести в </w:t>
      </w:r>
      <w:r w:rsidR="00DD514A">
        <w:rPr>
          <w:sz w:val="28"/>
          <w:szCs w:val="28"/>
        </w:rPr>
        <w:t xml:space="preserve">Местные нормативы градостроительного проектирования </w:t>
      </w:r>
      <w:proofErr w:type="spellStart"/>
      <w:r w:rsidR="00DD514A">
        <w:rPr>
          <w:sz w:val="28"/>
          <w:szCs w:val="28"/>
        </w:rPr>
        <w:t>Спла</w:t>
      </w:r>
      <w:r w:rsidR="00DD514A">
        <w:rPr>
          <w:sz w:val="28"/>
          <w:szCs w:val="28"/>
        </w:rPr>
        <w:t>в</w:t>
      </w:r>
      <w:r w:rsidR="00DD514A">
        <w:rPr>
          <w:sz w:val="28"/>
          <w:szCs w:val="28"/>
        </w:rPr>
        <w:t>нухинского</w:t>
      </w:r>
      <w:proofErr w:type="spellEnd"/>
      <w:r w:rsidR="00DD514A">
        <w:rPr>
          <w:sz w:val="28"/>
          <w:szCs w:val="28"/>
        </w:rPr>
        <w:t xml:space="preserve"> муниципального образования</w:t>
      </w:r>
      <w:r w:rsidRPr="00CF0BCC">
        <w:rPr>
          <w:sz w:val="28"/>
          <w:szCs w:val="28"/>
        </w:rPr>
        <w:t xml:space="preserve">, </w:t>
      </w:r>
      <w:r w:rsidRPr="00CF0BCC">
        <w:rPr>
          <w:rFonts w:eastAsia="Arial Unicode MS"/>
          <w:sz w:val="28"/>
          <w:szCs w:val="28"/>
        </w:rPr>
        <w:t xml:space="preserve">утвержденные </w:t>
      </w:r>
      <w:r w:rsidRPr="00CF0BCC">
        <w:rPr>
          <w:sz w:val="28"/>
          <w:szCs w:val="28"/>
        </w:rPr>
        <w:t>Решением Красноа</w:t>
      </w:r>
      <w:r w:rsidRPr="00CF0BCC">
        <w:rPr>
          <w:sz w:val="28"/>
          <w:szCs w:val="28"/>
        </w:rPr>
        <w:t>р</w:t>
      </w:r>
      <w:r w:rsidRPr="00CF0BCC">
        <w:rPr>
          <w:sz w:val="28"/>
          <w:szCs w:val="28"/>
        </w:rPr>
        <w:t xml:space="preserve">мейского </w:t>
      </w:r>
      <w:r w:rsidR="00BA103C">
        <w:rPr>
          <w:sz w:val="28"/>
          <w:szCs w:val="28"/>
        </w:rPr>
        <w:t xml:space="preserve">районного Собрания </w:t>
      </w:r>
      <w:r w:rsidRPr="00CF0BCC">
        <w:rPr>
          <w:sz w:val="28"/>
          <w:szCs w:val="28"/>
        </w:rPr>
        <w:t xml:space="preserve">Саратовской области от </w:t>
      </w:r>
      <w:r w:rsidR="00712615">
        <w:rPr>
          <w:sz w:val="28"/>
          <w:szCs w:val="28"/>
        </w:rPr>
        <w:t xml:space="preserve">25 декабря 2017г. №113 </w:t>
      </w:r>
      <w:r w:rsidRPr="00CF0BCC">
        <w:rPr>
          <w:sz w:val="28"/>
          <w:szCs w:val="28"/>
        </w:rPr>
        <w:t xml:space="preserve">«Об утверждении </w:t>
      </w:r>
      <w:r w:rsidR="00712615">
        <w:rPr>
          <w:sz w:val="28"/>
          <w:szCs w:val="28"/>
        </w:rPr>
        <w:t>м</w:t>
      </w:r>
      <w:r w:rsidR="00BA103C">
        <w:rPr>
          <w:sz w:val="28"/>
          <w:szCs w:val="28"/>
        </w:rPr>
        <w:t xml:space="preserve">естных нормативов градостроительного проектирования </w:t>
      </w:r>
      <w:proofErr w:type="spellStart"/>
      <w:r w:rsidR="00BA103C">
        <w:rPr>
          <w:sz w:val="28"/>
          <w:szCs w:val="28"/>
        </w:rPr>
        <w:t>Сплавнухинского</w:t>
      </w:r>
      <w:proofErr w:type="spellEnd"/>
      <w:r w:rsidR="00BA103C">
        <w:rPr>
          <w:sz w:val="28"/>
          <w:szCs w:val="28"/>
        </w:rPr>
        <w:t xml:space="preserve"> муниципального образования Красноармейского муниципал</w:t>
      </w:r>
      <w:r w:rsidR="00BA103C">
        <w:rPr>
          <w:sz w:val="28"/>
          <w:szCs w:val="28"/>
        </w:rPr>
        <w:t>ь</w:t>
      </w:r>
      <w:r w:rsidR="00BA103C">
        <w:rPr>
          <w:sz w:val="28"/>
          <w:szCs w:val="28"/>
        </w:rPr>
        <w:t xml:space="preserve">ного района» </w:t>
      </w:r>
      <w:r>
        <w:rPr>
          <w:sz w:val="28"/>
          <w:szCs w:val="28"/>
        </w:rPr>
        <w:t>следующие изменения:</w:t>
      </w:r>
      <w:proofErr w:type="gramEnd"/>
    </w:p>
    <w:p w:rsidR="00712615" w:rsidRPr="00712615" w:rsidRDefault="00CF0BCC" w:rsidP="005D59C3">
      <w:pPr>
        <w:spacing w:line="276" w:lineRule="auto"/>
        <w:ind w:firstLine="318"/>
        <w:jc w:val="both"/>
        <w:rPr>
          <w:spacing w:val="-6"/>
          <w:sz w:val="28"/>
          <w:szCs w:val="28"/>
          <w:lang w:eastAsia="en-US"/>
        </w:rPr>
      </w:pPr>
      <w:r w:rsidRPr="00712615">
        <w:rPr>
          <w:sz w:val="28"/>
          <w:szCs w:val="28"/>
        </w:rPr>
        <w:t xml:space="preserve">- </w:t>
      </w:r>
      <w:r w:rsidR="00712615" w:rsidRPr="00712615">
        <w:rPr>
          <w:sz w:val="28"/>
          <w:szCs w:val="28"/>
        </w:rPr>
        <w:t>раздел «</w:t>
      </w:r>
      <w:r w:rsidR="00712615" w:rsidRPr="00712615">
        <w:rPr>
          <w:spacing w:val="-6"/>
          <w:sz w:val="28"/>
          <w:szCs w:val="28"/>
          <w:lang w:eastAsia="en-US"/>
        </w:rPr>
        <w:t>Основная часть местных нормативов градостроительного проектиров</w:t>
      </w:r>
      <w:r w:rsidR="00712615" w:rsidRPr="00712615">
        <w:rPr>
          <w:spacing w:val="-6"/>
          <w:sz w:val="28"/>
          <w:szCs w:val="28"/>
          <w:lang w:eastAsia="en-US"/>
        </w:rPr>
        <w:t>а</w:t>
      </w:r>
      <w:r w:rsidR="00712615" w:rsidRPr="00712615">
        <w:rPr>
          <w:spacing w:val="-6"/>
          <w:sz w:val="28"/>
          <w:szCs w:val="28"/>
          <w:lang w:eastAsia="en-US"/>
        </w:rPr>
        <w:t xml:space="preserve">ния </w:t>
      </w:r>
      <w:proofErr w:type="spellStart"/>
      <w:r w:rsidR="00712615" w:rsidRPr="00712615">
        <w:rPr>
          <w:spacing w:val="-6"/>
          <w:sz w:val="28"/>
          <w:szCs w:val="28"/>
          <w:lang w:eastAsia="en-US"/>
        </w:rPr>
        <w:t>Сплавнухинского</w:t>
      </w:r>
      <w:proofErr w:type="spellEnd"/>
      <w:r w:rsidR="00712615" w:rsidRPr="00712615">
        <w:rPr>
          <w:spacing w:val="-6"/>
          <w:sz w:val="28"/>
          <w:szCs w:val="28"/>
          <w:lang w:eastAsia="en-US"/>
        </w:rPr>
        <w:t xml:space="preserve"> муниципального образования Красноармейского муниц</w:t>
      </w:r>
      <w:r w:rsidR="00712615" w:rsidRPr="00712615">
        <w:rPr>
          <w:spacing w:val="-6"/>
          <w:sz w:val="28"/>
          <w:szCs w:val="28"/>
          <w:lang w:eastAsia="en-US"/>
        </w:rPr>
        <w:t>и</w:t>
      </w:r>
      <w:r w:rsidR="00712615" w:rsidRPr="00712615">
        <w:rPr>
          <w:spacing w:val="-6"/>
          <w:sz w:val="28"/>
          <w:szCs w:val="28"/>
          <w:lang w:eastAsia="en-US"/>
        </w:rPr>
        <w:t>пального района Саратовской области»</w:t>
      </w:r>
      <w:r w:rsidR="00712615">
        <w:rPr>
          <w:spacing w:val="-6"/>
          <w:sz w:val="28"/>
          <w:szCs w:val="28"/>
          <w:lang w:eastAsia="en-US"/>
        </w:rPr>
        <w:t xml:space="preserve"> дополнить пунктом 3.5. «</w:t>
      </w:r>
      <w:r w:rsidR="00712615" w:rsidRPr="00712615">
        <w:rPr>
          <w:rFonts w:eastAsia="Calibri"/>
          <w:bCs/>
          <w:sz w:val="28"/>
          <w:szCs w:val="28"/>
          <w:lang w:eastAsia="en-US"/>
        </w:rPr>
        <w:t>Расчетные показ</w:t>
      </w:r>
      <w:r w:rsidR="00712615" w:rsidRPr="00712615">
        <w:rPr>
          <w:rFonts w:eastAsia="Calibri"/>
          <w:bCs/>
          <w:sz w:val="28"/>
          <w:szCs w:val="28"/>
          <w:lang w:eastAsia="en-US"/>
        </w:rPr>
        <w:t>а</w:t>
      </w:r>
      <w:r w:rsidR="00712615" w:rsidRPr="00712615">
        <w:rPr>
          <w:rFonts w:eastAsia="Calibri"/>
          <w:bCs/>
          <w:sz w:val="28"/>
          <w:szCs w:val="28"/>
          <w:lang w:eastAsia="en-US"/>
        </w:rPr>
        <w:t>тели дошкольных и школьных образовательных организаций</w:t>
      </w:r>
      <w:r w:rsidR="00712615">
        <w:rPr>
          <w:rFonts w:eastAsia="Calibri"/>
          <w:bCs/>
          <w:sz w:val="28"/>
          <w:szCs w:val="28"/>
          <w:lang w:eastAsia="en-US"/>
        </w:rPr>
        <w:t xml:space="preserve">» </w:t>
      </w:r>
      <w:proofErr w:type="gramStart"/>
      <w:r w:rsidR="00712615">
        <w:rPr>
          <w:rFonts w:eastAsia="Calibri"/>
          <w:bCs/>
          <w:sz w:val="28"/>
          <w:szCs w:val="28"/>
          <w:lang w:eastAsia="en-US"/>
        </w:rPr>
        <w:t>согласно прил</w:t>
      </w:r>
      <w:r w:rsidR="00712615">
        <w:rPr>
          <w:rFonts w:eastAsia="Calibri"/>
          <w:bCs/>
          <w:sz w:val="28"/>
          <w:szCs w:val="28"/>
          <w:lang w:eastAsia="en-US"/>
        </w:rPr>
        <w:t>о</w:t>
      </w:r>
      <w:r w:rsidR="00712615">
        <w:rPr>
          <w:rFonts w:eastAsia="Calibri"/>
          <w:bCs/>
          <w:sz w:val="28"/>
          <w:szCs w:val="28"/>
          <w:lang w:eastAsia="en-US"/>
        </w:rPr>
        <w:t>жения</w:t>
      </w:r>
      <w:proofErr w:type="gramEnd"/>
      <w:r w:rsidR="00712615">
        <w:rPr>
          <w:rFonts w:eastAsia="Calibri"/>
          <w:bCs/>
          <w:sz w:val="28"/>
          <w:szCs w:val="28"/>
          <w:lang w:eastAsia="en-US"/>
        </w:rPr>
        <w:t xml:space="preserve"> 1;</w:t>
      </w:r>
    </w:p>
    <w:p w:rsidR="00712615" w:rsidRDefault="00CF0BCC" w:rsidP="005D59C3">
      <w:pPr>
        <w:spacing w:line="276" w:lineRule="auto"/>
        <w:ind w:firstLine="21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34FA1">
        <w:rPr>
          <w:sz w:val="28"/>
          <w:szCs w:val="28"/>
        </w:rPr>
        <w:t xml:space="preserve"> </w:t>
      </w:r>
      <w:r w:rsidR="00712615">
        <w:rPr>
          <w:sz w:val="28"/>
          <w:szCs w:val="28"/>
        </w:rPr>
        <w:t xml:space="preserve">таблицу </w:t>
      </w:r>
      <w:r w:rsidR="00712615">
        <w:rPr>
          <w:sz w:val="28"/>
          <w:szCs w:val="28"/>
          <w:lang w:val="en-US"/>
        </w:rPr>
        <w:t>I</w:t>
      </w:r>
      <w:r w:rsidR="00712615">
        <w:rPr>
          <w:sz w:val="28"/>
          <w:szCs w:val="28"/>
        </w:rPr>
        <w:t xml:space="preserve"> в разделе «</w:t>
      </w:r>
      <w:r w:rsidR="00712615" w:rsidRPr="00712615">
        <w:rPr>
          <w:spacing w:val="-6"/>
          <w:sz w:val="28"/>
          <w:szCs w:val="28"/>
          <w:lang w:eastAsia="en-US"/>
        </w:rPr>
        <w:t>Материалы по обоснованию расчётных показателей, с</w:t>
      </w:r>
      <w:r w:rsidR="00712615" w:rsidRPr="00712615">
        <w:rPr>
          <w:spacing w:val="-6"/>
          <w:sz w:val="28"/>
          <w:szCs w:val="28"/>
          <w:lang w:eastAsia="en-US"/>
        </w:rPr>
        <w:t>о</w:t>
      </w:r>
      <w:r w:rsidR="00712615" w:rsidRPr="00712615">
        <w:rPr>
          <w:spacing w:val="-6"/>
          <w:sz w:val="28"/>
          <w:szCs w:val="28"/>
          <w:lang w:eastAsia="en-US"/>
        </w:rPr>
        <w:t>держащихся в основной части местных нормативов градостроительного проектир</w:t>
      </w:r>
      <w:r w:rsidR="00712615" w:rsidRPr="00712615">
        <w:rPr>
          <w:spacing w:val="-6"/>
          <w:sz w:val="28"/>
          <w:szCs w:val="28"/>
          <w:lang w:eastAsia="en-US"/>
        </w:rPr>
        <w:t>о</w:t>
      </w:r>
      <w:r w:rsidR="00712615" w:rsidRPr="00712615">
        <w:rPr>
          <w:spacing w:val="-6"/>
          <w:sz w:val="28"/>
          <w:szCs w:val="28"/>
          <w:lang w:eastAsia="en-US"/>
        </w:rPr>
        <w:t xml:space="preserve">вания </w:t>
      </w:r>
      <w:proofErr w:type="spellStart"/>
      <w:r w:rsidR="00712615" w:rsidRPr="00712615">
        <w:rPr>
          <w:spacing w:val="-6"/>
          <w:sz w:val="28"/>
          <w:szCs w:val="28"/>
          <w:lang w:eastAsia="en-US"/>
        </w:rPr>
        <w:t>Сплавнухинского</w:t>
      </w:r>
      <w:proofErr w:type="spellEnd"/>
      <w:r w:rsidR="00712615" w:rsidRPr="00712615">
        <w:rPr>
          <w:spacing w:val="-6"/>
          <w:sz w:val="28"/>
          <w:szCs w:val="28"/>
          <w:lang w:eastAsia="en-US"/>
        </w:rPr>
        <w:t xml:space="preserve"> муниципального образования Красноармейского муниц</w:t>
      </w:r>
      <w:r w:rsidR="00712615" w:rsidRPr="00712615">
        <w:rPr>
          <w:spacing w:val="-6"/>
          <w:sz w:val="28"/>
          <w:szCs w:val="28"/>
          <w:lang w:eastAsia="en-US"/>
        </w:rPr>
        <w:t>и</w:t>
      </w:r>
      <w:r w:rsidR="00712615" w:rsidRPr="00712615">
        <w:rPr>
          <w:spacing w:val="-6"/>
          <w:sz w:val="28"/>
          <w:szCs w:val="28"/>
          <w:lang w:eastAsia="en-US"/>
        </w:rPr>
        <w:t>пального района Саратовской области</w:t>
      </w:r>
      <w:r w:rsidR="00712615">
        <w:rPr>
          <w:spacing w:val="-6"/>
          <w:sz w:val="28"/>
          <w:szCs w:val="28"/>
          <w:lang w:eastAsia="en-US"/>
        </w:rPr>
        <w:t>»</w:t>
      </w:r>
      <w:r w:rsidR="00712615">
        <w:rPr>
          <w:sz w:val="28"/>
          <w:szCs w:val="28"/>
        </w:rPr>
        <w:t xml:space="preserve"> изложить в новой редакции </w:t>
      </w:r>
      <w:proofErr w:type="gramStart"/>
      <w:r w:rsidR="00712615">
        <w:rPr>
          <w:sz w:val="28"/>
          <w:szCs w:val="28"/>
        </w:rPr>
        <w:t>согласно пр</w:t>
      </w:r>
      <w:r w:rsidR="00712615">
        <w:rPr>
          <w:sz w:val="28"/>
          <w:szCs w:val="28"/>
        </w:rPr>
        <w:t>и</w:t>
      </w:r>
      <w:r w:rsidR="00712615">
        <w:rPr>
          <w:sz w:val="28"/>
          <w:szCs w:val="28"/>
        </w:rPr>
        <w:t>ложения</w:t>
      </w:r>
      <w:proofErr w:type="gramEnd"/>
      <w:r w:rsidR="00712615">
        <w:rPr>
          <w:sz w:val="28"/>
          <w:szCs w:val="28"/>
        </w:rPr>
        <w:t xml:space="preserve"> 2.</w:t>
      </w:r>
    </w:p>
    <w:p w:rsidR="00BF7FBF" w:rsidRDefault="00BF7FBF" w:rsidP="00BF7FBF">
      <w:pPr>
        <w:spacing w:line="276" w:lineRule="auto"/>
        <w:ind w:left="2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лист «Содержание» изложить в новой редакции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3.</w:t>
      </w:r>
    </w:p>
    <w:p w:rsidR="00E061DC" w:rsidRDefault="00E061DC" w:rsidP="00BF7FBF">
      <w:pPr>
        <w:spacing w:line="276" w:lineRule="auto"/>
        <w:ind w:left="210"/>
        <w:jc w:val="both"/>
        <w:rPr>
          <w:sz w:val="28"/>
          <w:szCs w:val="28"/>
        </w:rPr>
      </w:pPr>
    </w:p>
    <w:p w:rsidR="00CF0BCC" w:rsidRPr="00E83357" w:rsidRDefault="00712615" w:rsidP="005D59C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  <w:r w:rsidR="00A0607F">
        <w:rPr>
          <w:color w:val="000000"/>
          <w:sz w:val="28"/>
          <w:szCs w:val="28"/>
        </w:rPr>
        <w:t xml:space="preserve">. Опубликовать </w:t>
      </w:r>
      <w:r w:rsidR="00A0607F" w:rsidRPr="00BB134B">
        <w:rPr>
          <w:color w:val="000000"/>
          <w:sz w:val="28"/>
          <w:szCs w:val="28"/>
        </w:rPr>
        <w:t xml:space="preserve">настоящее решение </w:t>
      </w:r>
      <w:r w:rsidR="00A0607F" w:rsidRPr="005E3D94">
        <w:rPr>
          <w:rFonts w:eastAsia="Arial Unicode MS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</w:t>
      </w:r>
      <w:r w:rsidR="00A0607F" w:rsidRPr="005E3D94">
        <w:rPr>
          <w:rFonts w:eastAsia="Arial Unicode MS"/>
          <w:sz w:val="28"/>
          <w:szCs w:val="28"/>
        </w:rPr>
        <w:t>б</w:t>
      </w:r>
      <w:r w:rsidR="00A0607F" w:rsidRPr="005E3D94">
        <w:rPr>
          <w:rFonts w:eastAsia="Arial Unicode MS"/>
          <w:sz w:val="28"/>
          <w:szCs w:val="28"/>
        </w:rPr>
        <w:t>ласти в информационно телекоммуникационной сети «Интернет»</w:t>
      </w:r>
      <w:r w:rsidR="00A0607F">
        <w:rPr>
          <w:rFonts w:eastAsia="Arial Unicode MS"/>
          <w:sz w:val="28"/>
          <w:szCs w:val="28"/>
        </w:rPr>
        <w:t>.</w:t>
      </w:r>
    </w:p>
    <w:p w:rsidR="00111D55" w:rsidRDefault="00111D55" w:rsidP="005865A0">
      <w:pPr>
        <w:jc w:val="right"/>
      </w:pPr>
    </w:p>
    <w:p w:rsidR="00E061DC" w:rsidRDefault="00E061DC" w:rsidP="00E83357">
      <w:pPr>
        <w:jc w:val="both"/>
        <w:rPr>
          <w:sz w:val="28"/>
          <w:szCs w:val="28"/>
        </w:rPr>
      </w:pPr>
    </w:p>
    <w:p w:rsidR="00E061DC" w:rsidRDefault="00E061DC" w:rsidP="00E83357">
      <w:pPr>
        <w:jc w:val="both"/>
        <w:rPr>
          <w:sz w:val="28"/>
          <w:szCs w:val="28"/>
        </w:rPr>
      </w:pPr>
    </w:p>
    <w:p w:rsidR="00E83357" w:rsidRPr="00E01A2F" w:rsidRDefault="00E83357" w:rsidP="00E83357">
      <w:pPr>
        <w:jc w:val="both"/>
        <w:rPr>
          <w:sz w:val="28"/>
          <w:szCs w:val="28"/>
        </w:rPr>
      </w:pPr>
      <w:r w:rsidRPr="00E01A2F">
        <w:rPr>
          <w:sz w:val="28"/>
          <w:szCs w:val="28"/>
        </w:rPr>
        <w:t xml:space="preserve">Председатель </w:t>
      </w:r>
      <w:proofErr w:type="gramStart"/>
      <w:r w:rsidRPr="00E01A2F">
        <w:rPr>
          <w:sz w:val="28"/>
          <w:szCs w:val="28"/>
        </w:rPr>
        <w:t>Красноармейского</w:t>
      </w:r>
      <w:proofErr w:type="gramEnd"/>
    </w:p>
    <w:p w:rsidR="00E83357" w:rsidRDefault="00E83357" w:rsidP="00E83357">
      <w:pPr>
        <w:jc w:val="both"/>
        <w:rPr>
          <w:sz w:val="28"/>
          <w:szCs w:val="28"/>
        </w:rPr>
      </w:pPr>
      <w:r w:rsidRPr="00E01A2F">
        <w:rPr>
          <w:sz w:val="28"/>
          <w:szCs w:val="28"/>
        </w:rPr>
        <w:t>районного Собрания                                                                         Л.В. Герасимова</w:t>
      </w:r>
    </w:p>
    <w:p w:rsidR="00E061DC" w:rsidRPr="00E01A2F" w:rsidRDefault="00E061DC" w:rsidP="00E83357">
      <w:pPr>
        <w:jc w:val="both"/>
        <w:rPr>
          <w:sz w:val="28"/>
          <w:szCs w:val="28"/>
        </w:rPr>
      </w:pPr>
    </w:p>
    <w:p w:rsidR="00E83357" w:rsidRPr="00E01A2F" w:rsidRDefault="00E83357" w:rsidP="00E83357">
      <w:pPr>
        <w:jc w:val="both"/>
        <w:rPr>
          <w:sz w:val="28"/>
          <w:szCs w:val="28"/>
        </w:rPr>
      </w:pPr>
      <w:r w:rsidRPr="00E01A2F">
        <w:rPr>
          <w:sz w:val="28"/>
          <w:szCs w:val="28"/>
        </w:rPr>
        <w:t xml:space="preserve">     </w:t>
      </w:r>
    </w:p>
    <w:p w:rsidR="00E83357" w:rsidRPr="00E01A2F" w:rsidRDefault="00E83357" w:rsidP="00E83357">
      <w:pPr>
        <w:jc w:val="both"/>
        <w:rPr>
          <w:sz w:val="28"/>
          <w:szCs w:val="28"/>
        </w:rPr>
      </w:pPr>
      <w:r w:rsidRPr="00E01A2F">
        <w:rPr>
          <w:sz w:val="28"/>
          <w:szCs w:val="28"/>
        </w:rPr>
        <w:t xml:space="preserve">Секретарь </w:t>
      </w:r>
      <w:proofErr w:type="gramStart"/>
      <w:r w:rsidRPr="00E01A2F">
        <w:rPr>
          <w:sz w:val="28"/>
          <w:szCs w:val="28"/>
        </w:rPr>
        <w:t>Красноармейского</w:t>
      </w:r>
      <w:proofErr w:type="gramEnd"/>
    </w:p>
    <w:p w:rsidR="00E83357" w:rsidRPr="00E01A2F" w:rsidRDefault="00E83357" w:rsidP="00E83357">
      <w:pPr>
        <w:jc w:val="both"/>
        <w:rPr>
          <w:sz w:val="28"/>
          <w:szCs w:val="28"/>
        </w:rPr>
      </w:pPr>
      <w:r w:rsidRPr="00E01A2F">
        <w:rPr>
          <w:sz w:val="28"/>
          <w:szCs w:val="28"/>
        </w:rPr>
        <w:t xml:space="preserve">районного Собрания                                                                           А.В. </w:t>
      </w:r>
      <w:proofErr w:type="spellStart"/>
      <w:r w:rsidRPr="00E01A2F">
        <w:rPr>
          <w:sz w:val="28"/>
          <w:szCs w:val="28"/>
        </w:rPr>
        <w:t>Кузьменко</w:t>
      </w:r>
      <w:proofErr w:type="spellEnd"/>
    </w:p>
    <w:p w:rsidR="00CF0BCC" w:rsidRDefault="00CF0BCC">
      <w:r>
        <w:br w:type="page"/>
      </w:r>
    </w:p>
    <w:p w:rsidR="005865A0" w:rsidRDefault="005865A0" w:rsidP="005865A0">
      <w:pPr>
        <w:jc w:val="right"/>
      </w:pPr>
      <w:r>
        <w:lastRenderedPageBreak/>
        <w:t>Приложение № 1</w:t>
      </w:r>
    </w:p>
    <w:p w:rsidR="00E83357" w:rsidRDefault="00E83357" w:rsidP="00E83357">
      <w:pPr>
        <w:jc w:val="right"/>
      </w:pPr>
      <w:r>
        <w:t xml:space="preserve">к  решению районного Собрания </w:t>
      </w:r>
    </w:p>
    <w:p w:rsidR="00E83357" w:rsidRDefault="00E83357" w:rsidP="00E83357">
      <w:pPr>
        <w:jc w:val="right"/>
      </w:pPr>
      <w:r>
        <w:t>Красноармейского муниципального района</w:t>
      </w:r>
    </w:p>
    <w:p w:rsidR="00E83357" w:rsidRDefault="00E83357" w:rsidP="00E83357">
      <w:pPr>
        <w:jc w:val="right"/>
      </w:pPr>
      <w:r>
        <w:t>Саратовской области</w:t>
      </w:r>
    </w:p>
    <w:p w:rsid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</w:p>
    <w:p w:rsidR="00712615" w:rsidRPr="00712615" w:rsidRDefault="00712615" w:rsidP="00712615">
      <w:pPr>
        <w:autoSpaceDE w:val="0"/>
        <w:spacing w:line="276" w:lineRule="auto"/>
        <w:ind w:firstLine="851"/>
        <w:jc w:val="both"/>
        <w:rPr>
          <w:rFonts w:eastAsia="TimesNewRomanPSMT"/>
          <w:b/>
        </w:rPr>
      </w:pPr>
      <w:r w:rsidRPr="00712615">
        <w:rPr>
          <w:rFonts w:eastAsia="TimesNewRomanPSMT"/>
          <w:b/>
        </w:rPr>
        <w:t>3.5. Расчетные показатели объектов, относящихся к области образования.</w:t>
      </w:r>
    </w:p>
    <w:p w:rsidR="00712615" w:rsidRPr="00712615" w:rsidRDefault="00712615" w:rsidP="00712615">
      <w:pPr>
        <w:autoSpaceDE w:val="0"/>
        <w:spacing w:line="276" w:lineRule="auto"/>
        <w:ind w:left="4395" w:firstLine="851"/>
        <w:jc w:val="right"/>
        <w:rPr>
          <w:rFonts w:eastAsia="TimesNewRomanPSMT"/>
        </w:rPr>
      </w:pPr>
      <w:r w:rsidRPr="00712615">
        <w:rPr>
          <w:rFonts w:eastAsia="TimesNewRomanPSMT"/>
        </w:rPr>
        <w:t>Таблица 3.5.1</w:t>
      </w:r>
    </w:p>
    <w:tbl>
      <w:tblPr>
        <w:tblW w:w="9356" w:type="dxa"/>
        <w:tblInd w:w="-15" w:type="dxa"/>
        <w:tblBorders>
          <w:top w:val="single" w:sz="12" w:space="0" w:color="595959" w:themeColor="text1" w:themeTint="A6"/>
          <w:left w:val="single" w:sz="12" w:space="0" w:color="595959" w:themeColor="text1" w:themeTint="A6"/>
          <w:bottom w:val="single" w:sz="12" w:space="0" w:color="595959" w:themeColor="text1" w:themeTint="A6"/>
          <w:right w:val="single" w:sz="12" w:space="0" w:color="595959" w:themeColor="text1" w:themeTint="A6"/>
          <w:insideH w:val="single" w:sz="6" w:space="0" w:color="595959" w:themeColor="text1" w:themeTint="A6"/>
          <w:insideV w:val="single" w:sz="6" w:space="0" w:color="595959" w:themeColor="text1" w:themeTint="A6"/>
        </w:tblBorders>
        <w:tblLook w:val="00A0"/>
      </w:tblPr>
      <w:tblGrid>
        <w:gridCol w:w="543"/>
        <w:gridCol w:w="2543"/>
        <w:gridCol w:w="1715"/>
        <w:gridCol w:w="1383"/>
        <w:gridCol w:w="1789"/>
        <w:gridCol w:w="1383"/>
      </w:tblGrid>
      <w:tr w:rsidR="00712615" w:rsidRPr="00712615" w:rsidTr="000E2CBE">
        <w:trPr>
          <w:trHeight w:val="778"/>
        </w:trPr>
        <w:tc>
          <w:tcPr>
            <w:tcW w:w="574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№</w:t>
            </w:r>
          </w:p>
        </w:tc>
        <w:tc>
          <w:tcPr>
            <w:tcW w:w="2261" w:type="dxa"/>
            <w:vMerge w:val="restart"/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Наименование об</w:t>
            </w:r>
            <w:r w:rsidRPr="00712615">
              <w:rPr>
                <w:b/>
              </w:rPr>
              <w:t>ъ</w:t>
            </w:r>
            <w:r w:rsidRPr="00712615">
              <w:rPr>
                <w:b/>
              </w:rPr>
              <w:t>екта</w:t>
            </w:r>
          </w:p>
          <w:p w:rsidR="00712615" w:rsidRPr="00712615" w:rsidRDefault="00712615" w:rsidP="000E2CBE">
            <w:pPr>
              <w:jc w:val="center"/>
              <w:rPr>
                <w:b/>
              </w:rPr>
            </w:pPr>
          </w:p>
        </w:tc>
        <w:tc>
          <w:tcPr>
            <w:tcW w:w="3261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Минимально допустимый уровень обеспеченности</w:t>
            </w:r>
          </w:p>
        </w:tc>
        <w:tc>
          <w:tcPr>
            <w:tcW w:w="3260" w:type="dxa"/>
            <w:gridSpan w:val="2"/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Максимально допустимый уровень территориальной доступности</w:t>
            </w:r>
          </w:p>
        </w:tc>
      </w:tr>
      <w:tr w:rsidR="00712615" w:rsidRPr="00712615" w:rsidTr="000E2CBE">
        <w:trPr>
          <w:trHeight w:val="505"/>
        </w:trPr>
        <w:tc>
          <w:tcPr>
            <w:tcW w:w="574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  <w:tc>
          <w:tcPr>
            <w:tcW w:w="1842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 xml:space="preserve">Единица </w:t>
            </w:r>
          </w:p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измерения</w:t>
            </w:r>
          </w:p>
        </w:tc>
        <w:tc>
          <w:tcPr>
            <w:tcW w:w="1418" w:type="dxa"/>
            <w:tcBorders>
              <w:bottom w:val="single" w:sz="12" w:space="0" w:color="595959" w:themeColor="text1" w:themeTint="A6"/>
            </w:tcBorders>
            <w:shd w:val="clear" w:color="auto" w:fill="FFFFFF" w:themeFill="background1"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Величина</w:t>
            </w:r>
          </w:p>
        </w:tc>
      </w:tr>
      <w:tr w:rsidR="00712615" w:rsidRPr="00712615" w:rsidTr="000E2CBE">
        <w:trPr>
          <w:trHeight w:val="420"/>
        </w:trPr>
        <w:tc>
          <w:tcPr>
            <w:tcW w:w="574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1.</w:t>
            </w:r>
          </w:p>
        </w:tc>
        <w:tc>
          <w:tcPr>
            <w:tcW w:w="2261" w:type="dxa"/>
            <w:tcBorders>
              <w:top w:val="single" w:sz="12" w:space="0" w:color="595959" w:themeColor="text1" w:themeTint="A6"/>
            </w:tcBorders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</w:pPr>
            <w:r w:rsidRPr="00712615">
              <w:t>Дошкольные образ</w:t>
            </w:r>
            <w:r w:rsidRPr="00712615">
              <w:t>о</w:t>
            </w:r>
            <w:r w:rsidRPr="00712615">
              <w:t>вательные организ</w:t>
            </w:r>
            <w:r w:rsidRPr="00712615">
              <w:t>а</w:t>
            </w:r>
            <w:r w:rsidRPr="00712615">
              <w:t>ции</w:t>
            </w:r>
          </w:p>
        </w:tc>
        <w:tc>
          <w:tcPr>
            <w:tcW w:w="1843" w:type="dxa"/>
            <w:tcBorders>
              <w:top w:val="single" w:sz="12" w:space="0" w:color="595959" w:themeColor="text1" w:themeTint="A6"/>
              <w:bottom w:val="single" w:sz="4" w:space="0" w:color="auto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</w:t>
            </w:r>
            <w:r w:rsidRPr="00712615">
              <w:t>и</w:t>
            </w:r>
            <w:r w:rsidRPr="00712615">
              <w:t>телей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63,9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300</w:t>
            </w:r>
          </w:p>
        </w:tc>
      </w:tr>
      <w:tr w:rsidR="00712615" w:rsidRPr="00712615" w:rsidTr="000E2CBE">
        <w:trPr>
          <w:trHeight w:val="435"/>
        </w:trPr>
        <w:tc>
          <w:tcPr>
            <w:tcW w:w="574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2.</w:t>
            </w:r>
          </w:p>
        </w:tc>
        <w:tc>
          <w:tcPr>
            <w:tcW w:w="2261" w:type="dxa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</w:pPr>
            <w:r w:rsidRPr="00712615">
              <w:t xml:space="preserve">Общеобразовательные организации </w:t>
            </w:r>
          </w:p>
        </w:tc>
        <w:tc>
          <w:tcPr>
            <w:tcW w:w="1843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</w:t>
            </w:r>
            <w:r w:rsidRPr="00712615">
              <w:t>и</w:t>
            </w:r>
            <w:r w:rsidRPr="00712615">
              <w:t>телей</w:t>
            </w:r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114,38</w:t>
            </w:r>
          </w:p>
        </w:tc>
        <w:tc>
          <w:tcPr>
            <w:tcW w:w="1842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</w:t>
            </w:r>
          </w:p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500*</w:t>
            </w:r>
          </w:p>
        </w:tc>
      </w:tr>
      <w:tr w:rsidR="00712615" w:rsidRPr="00712615" w:rsidTr="000E2CBE">
        <w:trPr>
          <w:trHeight w:val="383"/>
        </w:trPr>
        <w:tc>
          <w:tcPr>
            <w:tcW w:w="574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  <w:r w:rsidRPr="00712615">
              <w:rPr>
                <w:b/>
              </w:rPr>
              <w:t>3.</w:t>
            </w:r>
          </w:p>
        </w:tc>
        <w:tc>
          <w:tcPr>
            <w:tcW w:w="2261" w:type="dxa"/>
            <w:vMerge w:val="restart"/>
            <w:tcBorders>
              <w:top w:val="single" w:sz="6" w:space="0" w:color="595959" w:themeColor="text1" w:themeTint="A6"/>
            </w:tcBorders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</w:pPr>
            <w:r w:rsidRPr="00712615">
              <w:t>Организации допо</w:t>
            </w:r>
            <w:r w:rsidRPr="00712615">
              <w:t>л</w:t>
            </w:r>
            <w:r w:rsidRPr="00712615">
              <w:t>нительного образов</w:t>
            </w:r>
            <w:r w:rsidRPr="00712615">
              <w:t>а</w:t>
            </w:r>
            <w:r w:rsidRPr="00712615">
              <w:t>ния</w:t>
            </w:r>
          </w:p>
        </w:tc>
        <w:tc>
          <w:tcPr>
            <w:tcW w:w="1843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>Кол-во мест на 1 000 ж</w:t>
            </w:r>
            <w:r w:rsidRPr="00712615">
              <w:t>и</w:t>
            </w:r>
            <w:r w:rsidRPr="00712615">
              <w:t>телей</w:t>
            </w:r>
          </w:p>
        </w:tc>
        <w:tc>
          <w:tcPr>
            <w:tcW w:w="1418" w:type="dxa"/>
            <w:vMerge w:val="restart"/>
            <w:tcBorders>
              <w:top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95,95</w:t>
            </w:r>
          </w:p>
        </w:tc>
        <w:tc>
          <w:tcPr>
            <w:tcW w:w="1842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>Транспортная доступность, мин.</w:t>
            </w:r>
          </w:p>
        </w:tc>
        <w:tc>
          <w:tcPr>
            <w:tcW w:w="1418" w:type="dxa"/>
            <w:tcBorders>
              <w:top w:val="single" w:sz="12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30</w:t>
            </w:r>
          </w:p>
        </w:tc>
      </w:tr>
      <w:tr w:rsidR="00712615" w:rsidRPr="00712615" w:rsidTr="000E2CBE">
        <w:trPr>
          <w:trHeight w:val="382"/>
        </w:trPr>
        <w:tc>
          <w:tcPr>
            <w:tcW w:w="574" w:type="dxa"/>
            <w:vMerge/>
            <w:vAlign w:val="center"/>
          </w:tcPr>
          <w:p w:rsidR="00712615" w:rsidRPr="00712615" w:rsidRDefault="00712615" w:rsidP="000E2CBE">
            <w:pPr>
              <w:jc w:val="center"/>
              <w:rPr>
                <w:b/>
              </w:rPr>
            </w:pPr>
          </w:p>
        </w:tc>
        <w:tc>
          <w:tcPr>
            <w:tcW w:w="2261" w:type="dxa"/>
            <w:vMerge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</w:pPr>
          </w:p>
        </w:tc>
        <w:tc>
          <w:tcPr>
            <w:tcW w:w="1843" w:type="dxa"/>
            <w:vMerge/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12615" w:rsidRPr="00712615" w:rsidRDefault="00712615" w:rsidP="000E2CBE">
            <w:pPr>
              <w:jc w:val="center"/>
            </w:pPr>
          </w:p>
        </w:tc>
        <w:tc>
          <w:tcPr>
            <w:tcW w:w="1842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tabs>
                <w:tab w:val="left" w:pos="6780"/>
              </w:tabs>
              <w:contextualSpacing/>
              <w:jc w:val="center"/>
            </w:pPr>
            <w:r w:rsidRPr="00712615">
              <w:t xml:space="preserve">Пешеходная доступность, </w:t>
            </w:r>
            <w:proofErr w:type="gramStart"/>
            <w:r w:rsidRPr="00712615">
              <w:t>м</w:t>
            </w:r>
            <w:proofErr w:type="gramEnd"/>
          </w:p>
        </w:tc>
        <w:tc>
          <w:tcPr>
            <w:tcW w:w="1418" w:type="dxa"/>
            <w:tcBorders>
              <w:bottom w:val="single" w:sz="6" w:space="0" w:color="595959" w:themeColor="text1" w:themeTint="A6"/>
            </w:tcBorders>
            <w:vAlign w:val="center"/>
          </w:tcPr>
          <w:p w:rsidR="00712615" w:rsidRPr="00712615" w:rsidRDefault="00712615" w:rsidP="000E2CBE">
            <w:pPr>
              <w:jc w:val="center"/>
            </w:pPr>
            <w:r w:rsidRPr="00712615">
              <w:t>1500</w:t>
            </w:r>
          </w:p>
        </w:tc>
      </w:tr>
    </w:tbl>
    <w:p w:rsidR="00712615" w:rsidRDefault="00712615" w:rsidP="005865A0">
      <w:pPr>
        <w:jc w:val="right"/>
      </w:pPr>
    </w:p>
    <w:p w:rsidR="00712615" w:rsidRDefault="00712615">
      <w:r>
        <w:br w:type="page"/>
      </w:r>
    </w:p>
    <w:p w:rsidR="00712615" w:rsidRDefault="00712615" w:rsidP="00712615">
      <w:pPr>
        <w:jc w:val="right"/>
      </w:pPr>
      <w:r>
        <w:lastRenderedPageBreak/>
        <w:t>Приложение № 2</w:t>
      </w:r>
    </w:p>
    <w:p w:rsidR="00E83357" w:rsidRDefault="00E83357" w:rsidP="00E83357">
      <w:pPr>
        <w:jc w:val="right"/>
      </w:pPr>
      <w:r>
        <w:t xml:space="preserve">к  решению районного Собрания </w:t>
      </w:r>
    </w:p>
    <w:p w:rsidR="00E83357" w:rsidRDefault="00E83357" w:rsidP="00E83357">
      <w:pPr>
        <w:jc w:val="right"/>
      </w:pPr>
      <w:r>
        <w:t>Красноармейского муниципального района</w:t>
      </w:r>
    </w:p>
    <w:p w:rsidR="00E83357" w:rsidRDefault="00E83357" w:rsidP="00E83357">
      <w:pPr>
        <w:jc w:val="right"/>
      </w:pPr>
      <w:r>
        <w:t>Саратовской области</w:t>
      </w: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</w:p>
    <w:p w:rsidR="00712615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bCs/>
          <w:szCs w:val="28"/>
        </w:rPr>
      </w:pPr>
      <w:r w:rsidRPr="00064DFF">
        <w:rPr>
          <w:bCs/>
          <w:szCs w:val="28"/>
        </w:rPr>
        <w:t xml:space="preserve">Таблица </w:t>
      </w:r>
      <w:r>
        <w:rPr>
          <w:bCs/>
          <w:szCs w:val="28"/>
          <w:lang w:val="en-US"/>
        </w:rPr>
        <w:t>I</w:t>
      </w:r>
      <w:r w:rsidRPr="00F24522">
        <w:rPr>
          <w:bCs/>
          <w:szCs w:val="28"/>
        </w:rPr>
        <w:t>.</w:t>
      </w:r>
    </w:p>
    <w:tbl>
      <w:tblPr>
        <w:tblW w:w="9498" w:type="dxa"/>
        <w:tblInd w:w="-34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1701"/>
        <w:gridCol w:w="2268"/>
        <w:gridCol w:w="4961"/>
      </w:tblGrid>
      <w:tr w:rsidR="00712615" w:rsidRPr="00064DFF" w:rsidTr="000E2CBE">
        <w:trPr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№ </w:t>
            </w:r>
            <w:proofErr w:type="spellStart"/>
            <w:r w:rsidRPr="00064DFF">
              <w:rPr>
                <w:b/>
                <w:sz w:val="22"/>
              </w:rPr>
              <w:t>п</w:t>
            </w:r>
            <w:proofErr w:type="gramStart"/>
            <w:r w:rsidRPr="00064DFF">
              <w:rPr>
                <w:b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Расчетный </w:t>
            </w:r>
          </w:p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показатель</w:t>
            </w:r>
          </w:p>
        </w:tc>
        <w:tc>
          <w:tcPr>
            <w:tcW w:w="496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>Обоснование расчетного показателя</w:t>
            </w:r>
          </w:p>
        </w:tc>
      </w:tr>
      <w:tr w:rsidR="00712615" w:rsidRPr="00064DFF" w:rsidTr="000E2CBE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712615" w:rsidRPr="00620B42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>в области инженерного обеспечения</w:t>
            </w:r>
          </w:p>
          <w:p w:rsidR="00712615" w:rsidRPr="00620B42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116F3E">
              <w:rPr>
                <w:b/>
                <w:sz w:val="22"/>
              </w:rPr>
              <w:t>(</w:t>
            </w:r>
            <w:proofErr w:type="spellStart"/>
            <w:r w:rsidRPr="00116F3E">
              <w:rPr>
                <w:b/>
                <w:sz w:val="22"/>
              </w:rPr>
              <w:t>электро</w:t>
            </w:r>
            <w:proofErr w:type="spellEnd"/>
            <w:r w:rsidRPr="00116F3E">
              <w:rPr>
                <w:b/>
                <w:sz w:val="22"/>
              </w:rPr>
              <w:t>-</w:t>
            </w:r>
            <w:r>
              <w:rPr>
                <w:b/>
                <w:sz w:val="22"/>
              </w:rPr>
              <w:t>, тепл</w:t>
            </w:r>
            <w:proofErr w:type="gramStart"/>
            <w:r>
              <w:rPr>
                <w:b/>
                <w:sz w:val="22"/>
              </w:rPr>
              <w:t>о-</w:t>
            </w:r>
            <w:proofErr w:type="gramEnd"/>
            <w:r>
              <w:rPr>
                <w:b/>
                <w:sz w:val="22"/>
              </w:rPr>
              <w:t>,</w:t>
            </w:r>
            <w:r w:rsidRPr="00116F3E">
              <w:rPr>
                <w:b/>
                <w:sz w:val="22"/>
              </w:rPr>
              <w:t xml:space="preserve"> </w:t>
            </w:r>
            <w:proofErr w:type="spellStart"/>
            <w:r w:rsidRPr="00116F3E">
              <w:rPr>
                <w:b/>
                <w:sz w:val="22"/>
              </w:rPr>
              <w:t>газо</w:t>
            </w:r>
            <w:proofErr w:type="spellEnd"/>
            <w:r>
              <w:rPr>
                <w:b/>
                <w:sz w:val="22"/>
              </w:rPr>
              <w:t>-, водо</w:t>
            </w:r>
            <w:r w:rsidRPr="00116F3E">
              <w:rPr>
                <w:b/>
                <w:sz w:val="22"/>
              </w:rPr>
              <w:t>снабжение</w:t>
            </w:r>
            <w:r>
              <w:rPr>
                <w:b/>
                <w:sz w:val="22"/>
              </w:rPr>
              <w:t xml:space="preserve"> населения и водоотведение</w:t>
            </w:r>
            <w:r w:rsidRPr="00116F3E">
              <w:rPr>
                <w:b/>
                <w:sz w:val="22"/>
              </w:rPr>
              <w:t>)</w:t>
            </w:r>
          </w:p>
        </w:tc>
      </w:tr>
      <w:tr w:rsidR="00712615" w:rsidRPr="00064DFF" w:rsidTr="000E2CBE">
        <w:trPr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1.1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электросна</w:t>
            </w:r>
            <w:r>
              <w:rPr>
                <w:sz w:val="22"/>
              </w:rPr>
              <w:t>б</w:t>
            </w:r>
            <w:r>
              <w:rPr>
                <w:sz w:val="22"/>
              </w:rPr>
              <w:t>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0E2CBE">
            <w:pPr>
              <w:shd w:val="clear" w:color="auto" w:fill="FFFFFF"/>
              <w:contextualSpacing/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государственного рег</w:t>
            </w:r>
            <w:r w:rsidRPr="00A854A4">
              <w:rPr>
                <w:sz w:val="22"/>
              </w:rPr>
              <w:t>у</w:t>
            </w:r>
            <w:r w:rsidRPr="00A854A4">
              <w:rPr>
                <w:sz w:val="22"/>
              </w:rPr>
              <w:t>лирования тарифов Саратовской об</w:t>
            </w:r>
            <w:r>
              <w:rPr>
                <w:sz w:val="22"/>
              </w:rPr>
              <w:t>ласти от 17 июня 2016 г. N 25/2</w:t>
            </w:r>
            <w:r w:rsidRPr="00A854A4">
              <w:rPr>
                <w:sz w:val="22"/>
              </w:rPr>
              <w:t xml:space="preserve"> "Об утверждении нормативов потребления коммунальной услуги по электр</w:t>
            </w:r>
            <w:r w:rsidRPr="00A854A4">
              <w:rPr>
                <w:sz w:val="22"/>
              </w:rPr>
              <w:t>о</w:t>
            </w:r>
            <w:r w:rsidRPr="00A854A4">
              <w:rPr>
                <w:sz w:val="22"/>
              </w:rPr>
              <w:t>снабжению в жилых помещениях на территории Саратовской области"</w:t>
            </w:r>
            <w:r>
              <w:rPr>
                <w:sz w:val="22"/>
              </w:rPr>
              <w:t>, Приложение №1;</w:t>
            </w:r>
          </w:p>
          <w:p w:rsidR="00712615" w:rsidRPr="007D79D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объектов эле</w:t>
            </w:r>
            <w:r w:rsidRPr="002D6ABD">
              <w:rPr>
                <w:sz w:val="22"/>
              </w:rPr>
              <w:t>к</w:t>
            </w:r>
            <w:r w:rsidRPr="002D6ABD">
              <w:rPr>
                <w:sz w:val="22"/>
              </w:rPr>
              <w:t>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712615" w:rsidRPr="00064DFF" w:rsidTr="000E2CBE">
        <w:trPr>
          <w:trHeight w:val="251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6A7547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6A7547">
              <w:rPr>
                <w:sz w:val="22"/>
              </w:rPr>
              <w:t>Постановление</w:t>
            </w:r>
            <w:r>
              <w:rPr>
                <w:sz w:val="22"/>
              </w:rPr>
              <w:t xml:space="preserve"> Правительства РФ </w:t>
            </w:r>
            <w:r w:rsidRPr="006A7547">
              <w:rPr>
                <w:sz w:val="22"/>
              </w:rPr>
              <w:t>от 24 февраля 2009 года N 160О порядке установления охра</w:t>
            </w:r>
            <w:r w:rsidRPr="006A7547">
              <w:rPr>
                <w:sz w:val="22"/>
              </w:rPr>
              <w:t>н</w:t>
            </w:r>
            <w:r w:rsidRPr="006A7547">
              <w:rPr>
                <w:sz w:val="22"/>
              </w:rPr>
              <w:t xml:space="preserve">ных зон объектов </w:t>
            </w:r>
            <w:proofErr w:type="spellStart"/>
            <w:r w:rsidRPr="006A7547">
              <w:rPr>
                <w:sz w:val="22"/>
              </w:rPr>
              <w:t>электросетевого</w:t>
            </w:r>
            <w:proofErr w:type="spellEnd"/>
            <w:r w:rsidRPr="006A7547">
              <w:rPr>
                <w:sz w:val="22"/>
              </w:rPr>
              <w:t xml:space="preserve"> хозяйства и особых условий использования земельных учас</w:t>
            </w:r>
            <w:r w:rsidRPr="006A7547">
              <w:rPr>
                <w:sz w:val="22"/>
              </w:rPr>
              <w:t>т</w:t>
            </w:r>
            <w:r w:rsidRPr="006A7547">
              <w:rPr>
                <w:sz w:val="22"/>
              </w:rPr>
              <w:t>ков, расположенных в границах таких зон</w:t>
            </w:r>
            <w:r>
              <w:rPr>
                <w:sz w:val="22"/>
              </w:rPr>
              <w:t xml:space="preserve"> (</w:t>
            </w:r>
            <w:r w:rsidRPr="002D6ABD">
              <w:rPr>
                <w:sz w:val="22"/>
              </w:rPr>
              <w:t>с и</w:t>
            </w:r>
            <w:r w:rsidRPr="002D6ABD">
              <w:rPr>
                <w:sz w:val="22"/>
              </w:rPr>
              <w:t>з</w:t>
            </w:r>
            <w:r w:rsidRPr="002D6ABD">
              <w:rPr>
                <w:sz w:val="22"/>
              </w:rPr>
              <w:t>менениями на 17 мая 2016 года)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0E2CBE">
        <w:trPr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1.2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Объекты,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712615" w:rsidRPr="00692776" w:rsidRDefault="00712615" w:rsidP="000E2CBE">
            <w:pPr>
              <w:shd w:val="clear" w:color="auto" w:fill="FFFFFF"/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Постановление комитета государ</w:t>
            </w:r>
            <w:r>
              <w:rPr>
                <w:sz w:val="22"/>
              </w:rPr>
              <w:t>ственного рег</w:t>
            </w:r>
            <w:r>
              <w:rPr>
                <w:sz w:val="22"/>
              </w:rPr>
              <w:t>у</w:t>
            </w:r>
            <w:r>
              <w:rPr>
                <w:sz w:val="22"/>
              </w:rPr>
              <w:t xml:space="preserve">лирования тарифов </w:t>
            </w:r>
            <w:r w:rsidRPr="00A854A4">
              <w:rPr>
                <w:sz w:val="22"/>
              </w:rPr>
              <w:t>Саратовской облас</w:t>
            </w:r>
            <w:r>
              <w:rPr>
                <w:sz w:val="22"/>
              </w:rPr>
              <w:t xml:space="preserve">ти от 17 декабря 2012 г. N 45/3 </w:t>
            </w:r>
            <w:r w:rsidRPr="00A854A4">
              <w:rPr>
                <w:sz w:val="22"/>
              </w:rPr>
              <w:t>"Об утверждении нормат</w:t>
            </w:r>
            <w:r w:rsidRPr="00A854A4">
              <w:rPr>
                <w:sz w:val="22"/>
              </w:rPr>
              <w:t>и</w:t>
            </w:r>
            <w:r w:rsidRPr="00A854A4">
              <w:rPr>
                <w:sz w:val="22"/>
              </w:rPr>
              <w:t xml:space="preserve">вов </w:t>
            </w:r>
            <w:r>
              <w:rPr>
                <w:sz w:val="22"/>
              </w:rPr>
              <w:t xml:space="preserve">потребления коммунальной услуги </w:t>
            </w:r>
            <w:r w:rsidRPr="00A854A4">
              <w:rPr>
                <w:sz w:val="22"/>
              </w:rPr>
              <w:t>по газ</w:t>
            </w:r>
            <w:r w:rsidRPr="00A854A4">
              <w:rPr>
                <w:sz w:val="22"/>
              </w:rPr>
              <w:t>о</w:t>
            </w:r>
            <w:r w:rsidRPr="00A854A4">
              <w:rPr>
                <w:sz w:val="22"/>
              </w:rPr>
              <w:t>снабжению при отсутстви</w:t>
            </w:r>
            <w:r>
              <w:rPr>
                <w:sz w:val="22"/>
              </w:rPr>
              <w:t>и у потребителей пр</w:t>
            </w:r>
            <w:r>
              <w:rPr>
                <w:sz w:val="22"/>
              </w:rPr>
              <w:t>и</w:t>
            </w:r>
            <w:r>
              <w:rPr>
                <w:sz w:val="22"/>
              </w:rPr>
              <w:t xml:space="preserve">боров учета </w:t>
            </w:r>
            <w:r w:rsidRPr="00A854A4">
              <w:rPr>
                <w:sz w:val="22"/>
              </w:rPr>
              <w:t>на территории Саратовской области"</w:t>
            </w:r>
            <w:r>
              <w:rPr>
                <w:sz w:val="22"/>
              </w:rPr>
              <w:t>;</w:t>
            </w:r>
          </w:p>
          <w:p w:rsidR="00712615" w:rsidRPr="005148A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36382A">
              <w:rPr>
                <w:sz w:val="22"/>
              </w:rPr>
              <w:t>Размеры земельных участков</w:t>
            </w:r>
            <w:r>
              <w:rPr>
                <w:sz w:val="22"/>
              </w:rPr>
              <w:t xml:space="preserve"> для объектов </w:t>
            </w:r>
            <w:proofErr w:type="spellStart"/>
            <w:r>
              <w:rPr>
                <w:sz w:val="22"/>
              </w:rPr>
              <w:t>газ</w:t>
            </w:r>
            <w:r>
              <w:rPr>
                <w:sz w:val="22"/>
              </w:rPr>
              <w:t>о</w:t>
            </w:r>
            <w:r>
              <w:rPr>
                <w:sz w:val="22"/>
              </w:rPr>
              <w:t>снабженияустановлены</w:t>
            </w:r>
            <w:proofErr w:type="spellEnd"/>
            <w:r w:rsidRPr="0036382A">
              <w:rPr>
                <w:sz w:val="22"/>
              </w:rPr>
              <w:t xml:space="preserve"> в соответствии с СП 42.13330.201</w:t>
            </w:r>
            <w:r>
              <w:rPr>
                <w:sz w:val="22"/>
              </w:rPr>
              <w:t>6,п</w:t>
            </w:r>
            <w:r w:rsidRPr="0036382A">
              <w:rPr>
                <w:sz w:val="22"/>
              </w:rPr>
              <w:t>.1</w:t>
            </w:r>
            <w:r>
              <w:rPr>
                <w:sz w:val="22"/>
              </w:rPr>
              <w:t>2</w:t>
            </w:r>
            <w:r w:rsidRPr="0036382A">
              <w:rPr>
                <w:sz w:val="22"/>
              </w:rPr>
              <w:t>.</w:t>
            </w:r>
            <w:r>
              <w:rPr>
                <w:sz w:val="22"/>
              </w:rPr>
              <w:t>29, п. 12.30.</w:t>
            </w:r>
          </w:p>
        </w:tc>
      </w:tr>
      <w:tr w:rsidR="00712615" w:rsidRPr="00064DFF" w:rsidTr="000E2CBE">
        <w:trPr>
          <w:trHeight w:val="977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AA030A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spellStart"/>
            <w:r w:rsidRPr="00AA030A">
              <w:rPr>
                <w:bCs/>
                <w:sz w:val="22"/>
              </w:rPr>
              <w:t>СНиП</w:t>
            </w:r>
            <w:proofErr w:type="spellEnd"/>
            <w:r w:rsidRPr="00AA030A">
              <w:rPr>
                <w:bCs/>
                <w:sz w:val="22"/>
              </w:rPr>
              <w:t xml:space="preserve"> 42-01-2002</w:t>
            </w:r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Г</w:t>
            </w:r>
            <w:r w:rsidRPr="00AA030A">
              <w:rPr>
                <w:bCs/>
                <w:sz w:val="22"/>
              </w:rPr>
              <w:t>азораспределительныесист</w:t>
            </w:r>
            <w:r w:rsidRPr="00AA030A">
              <w:rPr>
                <w:bCs/>
                <w:sz w:val="22"/>
              </w:rPr>
              <w:t>е</w:t>
            </w:r>
            <w:r w:rsidRPr="00AA030A">
              <w:rPr>
                <w:bCs/>
                <w:sz w:val="22"/>
              </w:rPr>
              <w:t>мы</w:t>
            </w:r>
            <w:proofErr w:type="spellEnd"/>
            <w:r>
              <w:rPr>
                <w:bCs/>
                <w:sz w:val="22"/>
              </w:rPr>
              <w:t xml:space="preserve">. </w:t>
            </w:r>
            <w:r w:rsidRPr="00CA11D6">
              <w:rPr>
                <w:bCs/>
                <w:sz w:val="22"/>
              </w:rPr>
              <w:t>Постановление Правительства РФ от 20 н</w:t>
            </w:r>
            <w:r w:rsidRPr="00CA11D6">
              <w:rPr>
                <w:bCs/>
                <w:sz w:val="22"/>
              </w:rPr>
              <w:t>о</w:t>
            </w:r>
            <w:r w:rsidRPr="00CA11D6">
              <w:rPr>
                <w:bCs/>
                <w:sz w:val="22"/>
              </w:rPr>
              <w:t>ября 2000 г. N 878"Об утверждении Правил охр</w:t>
            </w:r>
            <w:r w:rsidRPr="00CA11D6">
              <w:rPr>
                <w:bCs/>
                <w:sz w:val="22"/>
              </w:rPr>
              <w:t>а</w:t>
            </w:r>
            <w:r w:rsidRPr="00CA11D6">
              <w:rPr>
                <w:bCs/>
                <w:sz w:val="22"/>
              </w:rPr>
              <w:t>ны газораспределительных сетей"</w:t>
            </w:r>
            <w:r>
              <w:t>.</w:t>
            </w:r>
          </w:p>
        </w:tc>
      </w:tr>
      <w:tr w:rsidR="00712615" w:rsidRPr="00064DFF" w:rsidTr="000E2CBE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1.3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теплоснабж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>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</w:t>
            </w:r>
            <w:r>
              <w:rPr>
                <w:sz w:val="22"/>
              </w:rPr>
              <w:t xml:space="preserve"> от 26 д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кабря 2005 г. N 69-664 </w:t>
            </w:r>
            <w:r w:rsidRPr="00A854A4">
              <w:rPr>
                <w:sz w:val="22"/>
              </w:rPr>
              <w:t>"О нормативах потребл</w:t>
            </w:r>
            <w:r w:rsidRPr="00A854A4">
              <w:rPr>
                <w:sz w:val="22"/>
              </w:rPr>
              <w:t>е</w:t>
            </w:r>
            <w:r w:rsidRPr="00A854A4">
              <w:rPr>
                <w:sz w:val="22"/>
              </w:rPr>
              <w:t>ния отопления и горячего водоснабжения для н</w:t>
            </w:r>
            <w:r w:rsidRPr="00A854A4">
              <w:rPr>
                <w:sz w:val="22"/>
              </w:rPr>
              <w:t>а</w:t>
            </w:r>
            <w:r w:rsidRPr="00A854A4">
              <w:rPr>
                <w:sz w:val="22"/>
              </w:rPr>
              <w:t>селения"</w:t>
            </w:r>
            <w:r>
              <w:rPr>
                <w:sz w:val="22"/>
              </w:rPr>
              <w:t xml:space="preserve"> (с изменениями на 31.01.07);</w:t>
            </w:r>
          </w:p>
          <w:p w:rsidR="00712615" w:rsidRPr="002125D6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Размеры земельных участков для котельных у</w:t>
            </w:r>
            <w:r>
              <w:rPr>
                <w:sz w:val="22"/>
              </w:rPr>
              <w:t>с</w:t>
            </w:r>
            <w:r>
              <w:rPr>
                <w:sz w:val="22"/>
              </w:rPr>
              <w:t xml:space="preserve">тановлены в соответствии с </w:t>
            </w:r>
            <w:r w:rsidRPr="004B09A8">
              <w:rPr>
                <w:sz w:val="22"/>
              </w:rPr>
              <w:t xml:space="preserve">СП 42.13330.2016 </w:t>
            </w:r>
            <w:r>
              <w:rPr>
                <w:sz w:val="22"/>
              </w:rPr>
              <w:t>п. 12.27 Таблица 12.4.</w:t>
            </w:r>
          </w:p>
        </w:tc>
      </w:tr>
      <w:tr w:rsidR="00712615" w:rsidRPr="00064DFF" w:rsidTr="000E2CBE">
        <w:trPr>
          <w:trHeight w:val="913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>СП 42.13330.2016 Градостроительство. План</w:t>
            </w:r>
            <w:r w:rsidRPr="004B09A8">
              <w:rPr>
                <w:sz w:val="22"/>
              </w:rPr>
              <w:t>и</w:t>
            </w:r>
            <w:r w:rsidRPr="004B09A8">
              <w:rPr>
                <w:sz w:val="22"/>
              </w:rPr>
              <w:t>ровка и застройка городских и сельских посел</w:t>
            </w:r>
            <w:r w:rsidRPr="004B09A8">
              <w:rPr>
                <w:sz w:val="22"/>
              </w:rPr>
              <w:t>е</w:t>
            </w:r>
            <w:r w:rsidRPr="004B09A8">
              <w:rPr>
                <w:sz w:val="22"/>
              </w:rPr>
              <w:t xml:space="preserve">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0E2CBE">
        <w:trPr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1.4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Pr="00A854A4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Решение Саратовской городской Думы от 8 апр</w:t>
            </w:r>
            <w:r w:rsidRPr="00A854A4">
              <w:rPr>
                <w:sz w:val="22"/>
              </w:rPr>
              <w:t>е</w:t>
            </w:r>
            <w:r w:rsidRPr="00A854A4">
              <w:rPr>
                <w:sz w:val="22"/>
              </w:rPr>
              <w:t>ля 2004 г. N 43-430 "О нормативах потребления населением услуг водоснабжения и канализации"</w:t>
            </w:r>
          </w:p>
          <w:p w:rsidR="00712615" w:rsidRPr="00A854A4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A854A4">
              <w:rPr>
                <w:sz w:val="22"/>
              </w:rPr>
              <w:t>(с изменениями от 16 мая 2006 г.):</w:t>
            </w:r>
          </w:p>
          <w:p w:rsidR="00712615" w:rsidRPr="00F30E0E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станций очис</w:t>
            </w:r>
            <w:r w:rsidRPr="002D6ABD">
              <w:rPr>
                <w:sz w:val="22"/>
              </w:rPr>
              <w:t>т</w:t>
            </w:r>
            <w:r w:rsidRPr="002D6ABD">
              <w:rPr>
                <w:sz w:val="22"/>
              </w:rPr>
              <w:t xml:space="preserve">ки воды установлены в </w:t>
            </w:r>
            <w:r>
              <w:rPr>
                <w:sz w:val="22"/>
              </w:rPr>
              <w:t xml:space="preserve">соответствии с СП 42.13330.2011, </w:t>
            </w:r>
            <w:r w:rsidRPr="002D6ABD">
              <w:rPr>
                <w:sz w:val="22"/>
              </w:rPr>
              <w:t>п.12.4.</w:t>
            </w:r>
          </w:p>
        </w:tc>
      </w:tr>
      <w:tr w:rsidR="00712615" w:rsidRPr="00064DFF" w:rsidTr="000E2CB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4B09A8">
              <w:rPr>
                <w:sz w:val="22"/>
              </w:rPr>
              <w:t>СП 42.13330.2016 Градостроительство. План</w:t>
            </w:r>
            <w:r w:rsidRPr="004B09A8">
              <w:rPr>
                <w:sz w:val="22"/>
              </w:rPr>
              <w:t>и</w:t>
            </w:r>
            <w:r w:rsidRPr="004B09A8">
              <w:rPr>
                <w:sz w:val="22"/>
              </w:rPr>
              <w:t>ровка и застройка городских и сельских посел</w:t>
            </w:r>
            <w:r w:rsidRPr="004B09A8">
              <w:rPr>
                <w:sz w:val="22"/>
              </w:rPr>
              <w:t>е</w:t>
            </w:r>
            <w:r w:rsidRPr="004B09A8">
              <w:rPr>
                <w:sz w:val="22"/>
              </w:rPr>
              <w:t xml:space="preserve">ний. Актуализированная редакция </w:t>
            </w:r>
            <w:proofErr w:type="spellStart"/>
            <w:r w:rsidRPr="004B09A8">
              <w:rPr>
                <w:sz w:val="22"/>
              </w:rPr>
              <w:t>СНиП</w:t>
            </w:r>
            <w:proofErr w:type="spellEnd"/>
            <w:r w:rsidRPr="004B09A8">
              <w:rPr>
                <w:sz w:val="22"/>
              </w:rPr>
              <w:t xml:space="preserve"> 2.07.01-89* </w:t>
            </w:r>
            <w:r>
              <w:rPr>
                <w:sz w:val="22"/>
              </w:rPr>
              <w:t>п. 12.35Таблица</w:t>
            </w:r>
            <w:r w:rsidRPr="00770E31">
              <w:rPr>
                <w:sz w:val="22"/>
              </w:rPr>
              <w:t xml:space="preserve"> 12.5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0E2CB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 xml:space="preserve">Объекты 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требованиями </w:t>
            </w:r>
            <w:r w:rsidRPr="00F24522">
              <w:rPr>
                <w:sz w:val="22"/>
              </w:rPr>
              <w:t>СП 42.13330.2016</w:t>
            </w:r>
            <w:r>
              <w:rPr>
                <w:sz w:val="22"/>
              </w:rPr>
              <w:t>;</w:t>
            </w:r>
          </w:p>
          <w:p w:rsidR="00712615" w:rsidRPr="00770E3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2D6ABD">
              <w:rPr>
                <w:sz w:val="22"/>
              </w:rPr>
              <w:t>Размеры земельных участков для очистных с</w:t>
            </w:r>
            <w:r w:rsidRPr="002D6ABD">
              <w:rPr>
                <w:sz w:val="22"/>
              </w:rPr>
              <w:t>о</w:t>
            </w:r>
            <w:r w:rsidRPr="002D6ABD">
              <w:rPr>
                <w:sz w:val="22"/>
              </w:rPr>
              <w:t>оружений канализации установлены в соответс</w:t>
            </w:r>
            <w:r w:rsidRPr="002D6ABD">
              <w:rPr>
                <w:sz w:val="22"/>
              </w:rPr>
              <w:t>т</w:t>
            </w:r>
            <w:r w:rsidRPr="002D6ABD">
              <w:rPr>
                <w:sz w:val="22"/>
              </w:rPr>
              <w:t>вии с СП 42.13330.201</w:t>
            </w:r>
            <w:r>
              <w:rPr>
                <w:sz w:val="22"/>
              </w:rPr>
              <w:t xml:space="preserve">6, </w:t>
            </w:r>
            <w:r w:rsidRPr="002D6ABD">
              <w:rPr>
                <w:sz w:val="22"/>
              </w:rPr>
              <w:t xml:space="preserve">таблица </w:t>
            </w:r>
            <w:r>
              <w:rPr>
                <w:sz w:val="22"/>
              </w:rPr>
              <w:t>12.</w:t>
            </w:r>
            <w:r w:rsidRPr="002D6AB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</w:p>
        </w:tc>
      </w:tr>
      <w:tr w:rsidR="00712615" w:rsidRPr="00064DFF" w:rsidTr="000E2CBE">
        <w:trPr>
          <w:trHeight w:val="48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</w:p>
        </w:tc>
        <w:tc>
          <w:tcPr>
            <w:tcW w:w="2268" w:type="dxa"/>
            <w:shd w:val="clear" w:color="auto" w:fill="auto"/>
          </w:tcPr>
          <w:p w:rsidR="00712615" w:rsidRDefault="00712615" w:rsidP="000E2CBE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712615" w:rsidRPr="00770E3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 w:rsidRPr="000C735E">
              <w:rPr>
                <w:sz w:val="22"/>
              </w:rPr>
              <w:t>СП 42.13330.2016 Градостроительство. План</w:t>
            </w:r>
            <w:r w:rsidRPr="000C735E">
              <w:rPr>
                <w:sz w:val="22"/>
              </w:rPr>
              <w:t>и</w:t>
            </w:r>
            <w:r w:rsidRPr="000C735E">
              <w:rPr>
                <w:sz w:val="22"/>
              </w:rPr>
              <w:t>ровка и застройка городских и сельских посел</w:t>
            </w:r>
            <w:r w:rsidRPr="000C735E">
              <w:rPr>
                <w:sz w:val="22"/>
              </w:rPr>
              <w:t>е</w:t>
            </w:r>
            <w:r w:rsidRPr="000C735E">
              <w:rPr>
                <w:sz w:val="22"/>
              </w:rPr>
              <w:t xml:space="preserve">ний. Актуализированная редакция </w:t>
            </w:r>
            <w:proofErr w:type="spellStart"/>
            <w:r w:rsidRPr="000C735E">
              <w:rPr>
                <w:sz w:val="22"/>
              </w:rPr>
              <w:t>СНиП</w:t>
            </w:r>
            <w:proofErr w:type="spellEnd"/>
            <w:r w:rsidRPr="000C735E">
              <w:rPr>
                <w:sz w:val="22"/>
              </w:rPr>
              <w:t xml:space="preserve"> 2.07.01-89* п. 12.35 Таблица 12.5</w:t>
            </w:r>
          </w:p>
        </w:tc>
      </w:tr>
      <w:tr w:rsidR="00712615" w:rsidRPr="00064DFF" w:rsidTr="000E2CBE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064DFF">
              <w:rPr>
                <w:b/>
                <w:sz w:val="22"/>
              </w:rPr>
              <w:t xml:space="preserve">Объекты </w:t>
            </w:r>
            <w:r>
              <w:rPr>
                <w:b/>
                <w:sz w:val="22"/>
              </w:rPr>
              <w:t>мест</w:t>
            </w:r>
            <w:r w:rsidRPr="00064DFF">
              <w:rPr>
                <w:b/>
                <w:sz w:val="22"/>
              </w:rPr>
              <w:t>ного значения в области транспорта</w:t>
            </w:r>
          </w:p>
        </w:tc>
      </w:tr>
      <w:tr w:rsidR="00712615" w:rsidRPr="00064DFF" w:rsidTr="000E2CBE">
        <w:trPr>
          <w:trHeight w:val="746"/>
        </w:trPr>
        <w:tc>
          <w:tcPr>
            <w:tcW w:w="568" w:type="dxa"/>
            <w:shd w:val="clear" w:color="auto" w:fill="auto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2.1</w:t>
            </w:r>
          </w:p>
        </w:tc>
        <w:tc>
          <w:tcPr>
            <w:tcW w:w="1701" w:type="dxa"/>
            <w:shd w:val="clear" w:color="auto" w:fill="auto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right="-249"/>
              <w:contextualSpacing/>
            </w:pPr>
            <w:r>
              <w:rPr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712615" w:rsidRPr="00064DFF" w:rsidRDefault="00712615" w:rsidP="000E2CBE">
            <w:pPr>
              <w:shd w:val="clear" w:color="auto" w:fill="FFFFFF"/>
              <w:contextualSpacing/>
            </w:pPr>
            <w:r w:rsidRPr="00C650B9">
              <w:rPr>
                <w:sz w:val="22"/>
              </w:rPr>
              <w:t>Расчетные параме</w:t>
            </w:r>
            <w:r w:rsidRPr="00C650B9">
              <w:rPr>
                <w:sz w:val="22"/>
              </w:rPr>
              <w:t>т</w:t>
            </w:r>
            <w:r w:rsidRPr="00C650B9">
              <w:rPr>
                <w:sz w:val="22"/>
              </w:rPr>
              <w:t>ры улиц и дорог ра</w:t>
            </w:r>
            <w:r w:rsidRPr="00C650B9">
              <w:rPr>
                <w:sz w:val="22"/>
              </w:rPr>
              <w:t>з</w:t>
            </w:r>
            <w:r w:rsidRPr="00C650B9">
              <w:rPr>
                <w:sz w:val="22"/>
              </w:rPr>
              <w:t>личных категорий</w:t>
            </w:r>
          </w:p>
        </w:tc>
        <w:tc>
          <w:tcPr>
            <w:tcW w:w="4961" w:type="dxa"/>
            <w:shd w:val="clear" w:color="auto" w:fill="auto"/>
          </w:tcPr>
          <w:p w:rsidR="00712615" w:rsidRPr="00064DFF" w:rsidRDefault="00712615" w:rsidP="000E2CBE">
            <w:pPr>
              <w:widowControl w:val="0"/>
              <w:autoSpaceDE w:val="0"/>
              <w:autoSpaceDN w:val="0"/>
              <w:adjustRightInd w:val="0"/>
              <w:ind w:right="-108"/>
              <w:contextualSpacing/>
            </w:pPr>
            <w:r>
              <w:rPr>
                <w:sz w:val="22"/>
              </w:rPr>
              <w:t>Расчетные параметры улиц и дорог различных к</w:t>
            </w:r>
            <w:r>
              <w:rPr>
                <w:sz w:val="22"/>
              </w:rPr>
              <w:t>а</w:t>
            </w:r>
            <w:r w:rsidRPr="00C650B9">
              <w:rPr>
                <w:sz w:val="22"/>
              </w:rPr>
              <w:t xml:space="preserve">тегорий </w:t>
            </w:r>
            <w:r>
              <w:rPr>
                <w:sz w:val="22"/>
              </w:rPr>
              <w:t>как объектов местного значения устано</w:t>
            </w:r>
            <w:r>
              <w:rPr>
                <w:sz w:val="22"/>
              </w:rPr>
              <w:t>в</w:t>
            </w:r>
            <w:r>
              <w:rPr>
                <w:sz w:val="22"/>
              </w:rPr>
              <w:t xml:space="preserve">лены </w:t>
            </w:r>
            <w:r w:rsidRPr="00C650B9">
              <w:rPr>
                <w:sz w:val="22"/>
              </w:rPr>
              <w:t xml:space="preserve">в соответствии с </w:t>
            </w:r>
            <w:r>
              <w:rPr>
                <w:sz w:val="22"/>
              </w:rPr>
              <w:t xml:space="preserve">СП 42.13330.2016, </w:t>
            </w:r>
            <w:r w:rsidRPr="00296631">
              <w:rPr>
                <w:sz w:val="22"/>
              </w:rPr>
              <w:t>п. 1</w:t>
            </w:r>
            <w:r>
              <w:rPr>
                <w:sz w:val="22"/>
              </w:rPr>
              <w:t>1</w:t>
            </w:r>
            <w:r w:rsidRPr="00296631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</w:p>
        </w:tc>
      </w:tr>
      <w:tr w:rsidR="00712615" w:rsidRPr="00064DFF" w:rsidTr="000E2CBE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8930" w:type="dxa"/>
            <w:gridSpan w:val="3"/>
            <w:shd w:val="clear" w:color="auto" w:fill="DDD9C3" w:themeFill="background2" w:themeFillShade="E6"/>
            <w:vAlign w:val="center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</w:pPr>
            <w:r>
              <w:rPr>
                <w:b/>
                <w:sz w:val="22"/>
              </w:rPr>
              <w:t xml:space="preserve">Объекты местного значения </w:t>
            </w:r>
            <w:r w:rsidRPr="00116F3E">
              <w:rPr>
                <w:b/>
                <w:sz w:val="22"/>
              </w:rPr>
              <w:t xml:space="preserve">в </w:t>
            </w:r>
            <w:r>
              <w:rPr>
                <w:b/>
                <w:sz w:val="22"/>
              </w:rPr>
              <w:t>иных областях:</w:t>
            </w:r>
          </w:p>
        </w:tc>
      </w:tr>
      <w:tr w:rsidR="00712615" w:rsidRPr="00064DFF" w:rsidTr="000E2CBE">
        <w:trPr>
          <w:trHeight w:val="165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</w:t>
            </w:r>
          </w:p>
        </w:tc>
        <w:tc>
          <w:tcPr>
            <w:tcW w:w="8930" w:type="dxa"/>
            <w:gridSpan w:val="3"/>
            <w:shd w:val="clear" w:color="auto" w:fill="auto"/>
            <w:vAlign w:val="center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3C4020">
              <w:rPr>
                <w:b/>
                <w:sz w:val="22"/>
              </w:rPr>
              <w:t>В области жилищного строительства</w:t>
            </w:r>
          </w:p>
        </w:tc>
      </w:tr>
      <w:tr w:rsidR="00712615" w:rsidRPr="00064DFF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3.1.1</w:t>
            </w:r>
          </w:p>
        </w:tc>
        <w:tc>
          <w:tcPr>
            <w:tcW w:w="1701" w:type="dxa"/>
            <w:shd w:val="clear" w:color="auto" w:fill="auto"/>
          </w:tcPr>
          <w:p w:rsidR="00712615" w:rsidRPr="00DA1974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 w:rsidRPr="008D07FC">
              <w:rPr>
                <w:spacing w:val="-8"/>
                <w:sz w:val="22"/>
                <w:szCs w:val="22"/>
              </w:rPr>
              <w:t>П</w:t>
            </w:r>
            <w:r>
              <w:rPr>
                <w:spacing w:val="-8"/>
                <w:sz w:val="22"/>
                <w:szCs w:val="22"/>
              </w:rPr>
              <w:t>араметры з</w:t>
            </w:r>
            <w:r>
              <w:rPr>
                <w:spacing w:val="-8"/>
                <w:sz w:val="22"/>
                <w:szCs w:val="22"/>
              </w:rPr>
              <w:t>а</w:t>
            </w:r>
            <w:r>
              <w:rPr>
                <w:spacing w:val="-8"/>
                <w:sz w:val="22"/>
                <w:szCs w:val="22"/>
              </w:rPr>
              <w:t>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Pr="00D16C8F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Установлены в соответствии с Правилами земл</w:t>
            </w:r>
            <w:r>
              <w:rPr>
                <w:sz w:val="22"/>
              </w:rPr>
              <w:t>е</w:t>
            </w:r>
            <w:r>
              <w:rPr>
                <w:sz w:val="22"/>
              </w:rPr>
              <w:t xml:space="preserve">пользования и застройки </w:t>
            </w:r>
            <w:proofErr w:type="spellStart"/>
            <w:r>
              <w:rPr>
                <w:sz w:val="22"/>
              </w:rPr>
              <w:t>Сплавнухинского</w:t>
            </w:r>
            <w:proofErr w:type="spellEnd"/>
            <w:r>
              <w:rPr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B82817">
              <w:rPr>
                <w:sz w:val="22"/>
                <w:szCs w:val="22"/>
              </w:rPr>
              <w:t>СП 42.13330.201</w:t>
            </w:r>
            <w:r>
              <w:rPr>
                <w:sz w:val="22"/>
                <w:szCs w:val="22"/>
              </w:rPr>
              <w:t>6.</w:t>
            </w:r>
          </w:p>
        </w:tc>
      </w:tr>
      <w:tr w:rsidR="00712615" w:rsidRPr="00634FC1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634FC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>В области сельского хозяйства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3.2.1</w:t>
            </w:r>
          </w:p>
        </w:tc>
        <w:tc>
          <w:tcPr>
            <w:tcW w:w="1701" w:type="dxa"/>
            <w:shd w:val="clear" w:color="auto" w:fill="auto"/>
          </w:tcPr>
          <w:p w:rsidR="00712615" w:rsidRPr="008D07FC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  <w:r>
              <w:rPr>
                <w:spacing w:val="-6"/>
                <w:sz w:val="22"/>
                <w:szCs w:val="22"/>
              </w:rPr>
              <w:t>П</w:t>
            </w:r>
            <w:r w:rsidRPr="00DF35C4">
              <w:rPr>
                <w:spacing w:val="-6"/>
                <w:sz w:val="22"/>
                <w:szCs w:val="22"/>
              </w:rPr>
              <w:t>оказатели об</w:t>
            </w:r>
            <w:r w:rsidRPr="00DF35C4">
              <w:rPr>
                <w:spacing w:val="-6"/>
                <w:sz w:val="22"/>
                <w:szCs w:val="22"/>
              </w:rPr>
              <w:t>ъ</w:t>
            </w:r>
            <w:r w:rsidRPr="00DF35C4">
              <w:rPr>
                <w:spacing w:val="-6"/>
                <w:sz w:val="22"/>
                <w:szCs w:val="22"/>
              </w:rPr>
              <w:t xml:space="preserve">ектов, </w:t>
            </w:r>
            <w:r w:rsidRPr="00A33FE7">
              <w:rPr>
                <w:spacing w:val="-6"/>
                <w:sz w:val="22"/>
                <w:szCs w:val="22"/>
              </w:rPr>
              <w:t>области сельского х</w:t>
            </w:r>
            <w:r w:rsidRPr="00A33FE7">
              <w:rPr>
                <w:spacing w:val="-6"/>
                <w:sz w:val="22"/>
                <w:szCs w:val="22"/>
              </w:rPr>
              <w:t>о</w:t>
            </w:r>
            <w:r w:rsidRPr="00A33FE7">
              <w:rPr>
                <w:spacing w:val="-6"/>
                <w:sz w:val="22"/>
                <w:szCs w:val="22"/>
              </w:rPr>
              <w:t>зяйства</w:t>
            </w:r>
          </w:p>
        </w:tc>
        <w:tc>
          <w:tcPr>
            <w:tcW w:w="2268" w:type="dxa"/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7124FB">
              <w:rPr>
                <w:color w:val="000000"/>
                <w:sz w:val="22"/>
                <w:szCs w:val="22"/>
              </w:rPr>
              <w:t>Показатель мин</w:t>
            </w:r>
            <w:r w:rsidRPr="007124FB">
              <w:rPr>
                <w:color w:val="000000"/>
                <w:sz w:val="22"/>
                <w:szCs w:val="22"/>
              </w:rPr>
              <w:t>и</w:t>
            </w:r>
            <w:r w:rsidRPr="007124FB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7124FB">
              <w:rPr>
                <w:color w:val="000000"/>
                <w:sz w:val="22"/>
                <w:szCs w:val="22"/>
              </w:rPr>
              <w:t>о</w:t>
            </w:r>
            <w:r w:rsidRPr="007124F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Установлен</w:t>
            </w:r>
            <w:proofErr w:type="gramEnd"/>
            <w:r>
              <w:rPr>
                <w:sz w:val="22"/>
              </w:rPr>
              <w:t xml:space="preserve"> в соответствии с </w:t>
            </w:r>
            <w:r w:rsidRPr="00634FC1">
              <w:rPr>
                <w:sz w:val="22"/>
              </w:rPr>
              <w:t>СП 19.13330.2011 Генеральные планы сельскохозяйственных пре</w:t>
            </w:r>
            <w:r w:rsidRPr="00634FC1">
              <w:rPr>
                <w:sz w:val="22"/>
              </w:rPr>
              <w:t>д</w:t>
            </w:r>
            <w:r w:rsidRPr="00634FC1">
              <w:rPr>
                <w:sz w:val="22"/>
              </w:rPr>
              <w:t xml:space="preserve">приятий. Актуализированная редакция </w:t>
            </w:r>
            <w:proofErr w:type="spellStart"/>
            <w:r w:rsidRPr="00634FC1">
              <w:rPr>
                <w:sz w:val="22"/>
              </w:rPr>
              <w:t>СниП</w:t>
            </w:r>
            <w:proofErr w:type="spellEnd"/>
            <w:r w:rsidRPr="00634FC1">
              <w:rPr>
                <w:sz w:val="22"/>
              </w:rPr>
              <w:t xml:space="preserve"> II-97-76* (с Изменением N 1)</w:t>
            </w:r>
            <w:r>
              <w:rPr>
                <w:sz w:val="22"/>
              </w:rPr>
              <w:t>, Приложение</w:t>
            </w:r>
            <w:proofErr w:type="gramStart"/>
            <w:r>
              <w:rPr>
                <w:sz w:val="22"/>
              </w:rPr>
              <w:t xml:space="preserve"> Б</w:t>
            </w:r>
            <w:proofErr w:type="gramEnd"/>
          </w:p>
        </w:tc>
      </w:tr>
      <w:tr w:rsidR="00712615" w:rsidRPr="00896E53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области </w:t>
            </w:r>
            <w:r w:rsidRPr="00896E53">
              <w:rPr>
                <w:b/>
                <w:bCs/>
                <w:sz w:val="22"/>
              </w:rPr>
              <w:t>благоустройства территории</w:t>
            </w:r>
          </w:p>
        </w:tc>
      </w:tr>
      <w:tr w:rsidR="00712615" w:rsidRPr="00896E53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3.3.1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Территории рекреационн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 w:rsidRPr="00896E53">
              <w:rPr>
                <w:color w:val="000000"/>
                <w:sz w:val="22"/>
                <w:szCs w:val="22"/>
              </w:rPr>
              <w:t>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tabs>
                <w:tab w:val="left" w:pos="904"/>
              </w:tabs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Гр</w:t>
            </w:r>
            <w:r w:rsidRPr="00896E53">
              <w:rPr>
                <w:sz w:val="22"/>
              </w:rPr>
              <w:t>а</w:t>
            </w:r>
            <w:r w:rsidRPr="00896E53">
              <w:rPr>
                <w:sz w:val="22"/>
              </w:rPr>
              <w:t>достроительство. Планировка и застройка горо</w:t>
            </w:r>
            <w:r w:rsidRPr="00896E53">
              <w:rPr>
                <w:sz w:val="22"/>
              </w:rPr>
              <w:t>д</w:t>
            </w:r>
            <w:r w:rsidRPr="00896E53">
              <w:rPr>
                <w:sz w:val="22"/>
              </w:rPr>
              <w:t xml:space="preserve">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Таблица 9.2.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в соответствии с СП 42.13330.2016 Гр</w:t>
            </w:r>
            <w:r w:rsidRPr="00896E53">
              <w:rPr>
                <w:sz w:val="22"/>
              </w:rPr>
              <w:t>а</w:t>
            </w:r>
            <w:r w:rsidRPr="00896E53">
              <w:rPr>
                <w:sz w:val="22"/>
              </w:rPr>
              <w:t>достроительство. Планировка и застройка горо</w:t>
            </w:r>
            <w:r w:rsidRPr="00896E53">
              <w:rPr>
                <w:sz w:val="22"/>
              </w:rPr>
              <w:t>д</w:t>
            </w:r>
            <w:r w:rsidRPr="00896E53">
              <w:rPr>
                <w:sz w:val="22"/>
              </w:rPr>
              <w:t xml:space="preserve">ских и сельских поселений. Актуализированная редакция </w:t>
            </w:r>
            <w:proofErr w:type="spellStart"/>
            <w:r w:rsidRPr="00896E53">
              <w:rPr>
                <w:sz w:val="22"/>
              </w:rPr>
              <w:t>СНиП</w:t>
            </w:r>
            <w:proofErr w:type="spellEnd"/>
            <w:r w:rsidRPr="00896E53">
              <w:rPr>
                <w:sz w:val="22"/>
              </w:rPr>
              <w:t xml:space="preserve"> 2.07.01-89*. П. 9.4.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Детская </w:t>
            </w:r>
          </w:p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>в соответствии с п. 4.15.2.3. проекта «М</w:t>
            </w:r>
            <w:r w:rsidRPr="00896E53">
              <w:rPr>
                <w:bCs/>
                <w:sz w:val="22"/>
              </w:rPr>
              <w:t>е</w:t>
            </w:r>
            <w:r w:rsidRPr="00896E53">
              <w:rPr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896E53">
              <w:rPr>
                <w:bCs/>
                <w:sz w:val="22"/>
              </w:rPr>
              <w:t>к</w:t>
            </w:r>
            <w:r w:rsidRPr="00896E53">
              <w:rPr>
                <w:bCs/>
                <w:sz w:val="22"/>
              </w:rPr>
              <w:t>тов комплексного благоустройства и развития городской среды)» от 19.01.2017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896E53">
              <w:rPr>
                <w:sz w:val="22"/>
              </w:rPr>
              <w:t>ринят</w:t>
            </w:r>
            <w:proofErr w:type="gramEnd"/>
            <w:r w:rsidRPr="00896E53">
              <w:rPr>
                <w:sz w:val="22"/>
              </w:rPr>
              <w:t xml:space="preserve"> </w:t>
            </w:r>
            <w:r w:rsidRPr="00896E53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896E53">
              <w:rPr>
                <w:bCs/>
                <w:sz w:val="22"/>
              </w:rPr>
              <w:t>пр</w:t>
            </w:r>
            <w:proofErr w:type="spellEnd"/>
            <w:proofErr w:type="gramEnd"/>
            <w:r w:rsidRPr="00896E53">
              <w:rPr>
                <w:bCs/>
                <w:sz w:val="22"/>
              </w:rPr>
              <w:t xml:space="preserve"> «Об утверждении методических рекомендаций для подготовки пр</w:t>
            </w:r>
            <w:r w:rsidRPr="00896E53">
              <w:rPr>
                <w:bCs/>
                <w:sz w:val="22"/>
              </w:rPr>
              <w:t>а</w:t>
            </w:r>
            <w:r w:rsidRPr="00896E53">
              <w:rPr>
                <w:bCs/>
                <w:sz w:val="22"/>
              </w:rPr>
              <w:t>вил благоустройства территорий поселений, г</w:t>
            </w:r>
            <w:r w:rsidRPr="00896E53">
              <w:rPr>
                <w:bCs/>
                <w:sz w:val="22"/>
              </w:rPr>
              <w:t>о</w:t>
            </w:r>
            <w:r w:rsidRPr="00896E53">
              <w:rPr>
                <w:bCs/>
                <w:sz w:val="22"/>
              </w:rPr>
              <w:t>родских округов, внутригородских районов»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3.3.3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Площадка </w:t>
            </w:r>
          </w:p>
          <w:p w:rsidR="00712615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 xml:space="preserve">отдыха и </w:t>
            </w:r>
          </w:p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4.15.3.2. проекта «М</w:t>
            </w:r>
            <w:r w:rsidRPr="00A57A5D">
              <w:rPr>
                <w:bCs/>
                <w:sz w:val="22"/>
              </w:rPr>
              <w:t>е</w:t>
            </w:r>
            <w:r w:rsidRPr="00A57A5D">
              <w:rPr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A57A5D">
              <w:rPr>
                <w:bCs/>
                <w:sz w:val="22"/>
              </w:rPr>
              <w:t>к</w:t>
            </w:r>
            <w:r w:rsidRPr="00A57A5D">
              <w:rPr>
                <w:bCs/>
                <w:sz w:val="22"/>
              </w:rPr>
              <w:t>тов комплексного благоустройства и развития городской среды)» от 19.01.2017.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sz w:val="22"/>
              </w:rPr>
              <w:t>П</w:t>
            </w:r>
            <w:r w:rsidRPr="00A57A5D">
              <w:rPr>
                <w:sz w:val="22"/>
              </w:rPr>
              <w:t>ринят</w:t>
            </w:r>
            <w:proofErr w:type="gramEnd"/>
            <w:r w:rsidRPr="00A57A5D">
              <w:rPr>
                <w:sz w:val="22"/>
              </w:rPr>
              <w:t xml:space="preserve"> </w:t>
            </w:r>
            <w:r w:rsidRPr="00A57A5D">
              <w:rPr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proofErr w:type="gramStart"/>
            <w:r w:rsidRPr="00A57A5D">
              <w:rPr>
                <w:bCs/>
                <w:sz w:val="22"/>
              </w:rPr>
              <w:t>пр</w:t>
            </w:r>
            <w:proofErr w:type="spellEnd"/>
            <w:proofErr w:type="gramEnd"/>
            <w:r w:rsidRPr="00A57A5D">
              <w:rPr>
                <w:bCs/>
                <w:sz w:val="22"/>
              </w:rPr>
              <w:t xml:space="preserve"> «Об утверждении методических рекомендаций для подготовки пр</w:t>
            </w:r>
            <w:r w:rsidRPr="00A57A5D">
              <w:rPr>
                <w:bCs/>
                <w:sz w:val="22"/>
              </w:rPr>
              <w:t>а</w:t>
            </w:r>
            <w:r w:rsidRPr="00A57A5D">
              <w:rPr>
                <w:bCs/>
                <w:sz w:val="22"/>
              </w:rPr>
              <w:t>вил благоустройства территорий поселений, г</w:t>
            </w:r>
            <w:r w:rsidRPr="00A57A5D">
              <w:rPr>
                <w:bCs/>
                <w:sz w:val="22"/>
              </w:rPr>
              <w:t>о</w:t>
            </w:r>
            <w:r w:rsidRPr="00A57A5D">
              <w:rPr>
                <w:bCs/>
                <w:sz w:val="22"/>
              </w:rPr>
              <w:t>родских округов, внутригородских районов»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3.3.4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A57A5D">
              <w:rPr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proofErr w:type="gramStart"/>
            <w:r>
              <w:rPr>
                <w:bCs/>
                <w:sz w:val="22"/>
              </w:rPr>
              <w:t>П</w:t>
            </w:r>
            <w:r w:rsidRPr="00A57A5D">
              <w:rPr>
                <w:bCs/>
                <w:sz w:val="22"/>
              </w:rPr>
              <w:t>ринят</w:t>
            </w:r>
            <w:proofErr w:type="gramEnd"/>
            <w:r w:rsidRPr="00A57A5D">
              <w:rPr>
                <w:bCs/>
                <w:sz w:val="22"/>
              </w:rPr>
              <w:t xml:space="preserve"> в соответствии с п. 4.15.6.2. проекта «М</w:t>
            </w:r>
            <w:r w:rsidRPr="00A57A5D">
              <w:rPr>
                <w:bCs/>
                <w:sz w:val="22"/>
              </w:rPr>
              <w:t>е</w:t>
            </w:r>
            <w:r w:rsidRPr="00A57A5D">
              <w:rPr>
                <w:bCs/>
                <w:sz w:val="22"/>
              </w:rPr>
              <w:t>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</w:t>
            </w:r>
            <w:r w:rsidRPr="00A57A5D">
              <w:rPr>
                <w:bCs/>
                <w:sz w:val="22"/>
              </w:rPr>
              <w:t>к</w:t>
            </w:r>
            <w:r w:rsidRPr="00A57A5D">
              <w:rPr>
                <w:bCs/>
                <w:sz w:val="22"/>
              </w:rPr>
              <w:t>тов комплексного благоустройства и развития городской среды)» от 19.01.2017</w:t>
            </w:r>
          </w:p>
        </w:tc>
      </w:tr>
      <w:tr w:rsidR="00712615" w:rsidTr="000E2CBE">
        <w:trPr>
          <w:trHeight w:val="1005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Транспортная доступность 15</w:t>
            </w:r>
            <w:r w:rsidRPr="00A57A5D">
              <w:rPr>
                <w:sz w:val="22"/>
              </w:rPr>
              <w:t xml:space="preserve"> минут принята и</w:t>
            </w:r>
            <w:r w:rsidRPr="00A57A5D">
              <w:rPr>
                <w:sz w:val="22"/>
              </w:rPr>
              <w:t>с</w:t>
            </w:r>
            <w:r w:rsidRPr="00A57A5D">
              <w:rPr>
                <w:sz w:val="22"/>
              </w:rPr>
              <w:t xml:space="preserve">ходя из времени, за которое можно добраться от самой удаленной части </w:t>
            </w:r>
            <w:r>
              <w:rPr>
                <w:sz w:val="22"/>
              </w:rPr>
              <w:t>сельского поселения до объекта.</w:t>
            </w:r>
          </w:p>
        </w:tc>
      </w:tr>
      <w:tr w:rsidR="00712615" w:rsidRPr="0048542B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Pr="0048542B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В </w:t>
            </w:r>
            <w:r w:rsidRPr="0048542B">
              <w:rPr>
                <w:b/>
                <w:sz w:val="22"/>
              </w:rPr>
              <w:t>области гражданской обороны и</w:t>
            </w:r>
            <w:r w:rsidRPr="00ED1741">
              <w:rPr>
                <w:b/>
                <w:sz w:val="22"/>
              </w:rPr>
              <w:t xml:space="preserve"> </w:t>
            </w:r>
            <w:r w:rsidRPr="0048542B">
              <w:rPr>
                <w:b/>
                <w:sz w:val="22"/>
              </w:rPr>
              <w:t>предупреждения ЧС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3.4.1</w:t>
            </w: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>
              <w:rPr>
                <w:sz w:val="22"/>
              </w:rPr>
              <w:t>3.4.2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48542B">
              <w:rPr>
                <w:color w:val="000000"/>
                <w:sz w:val="22"/>
                <w:szCs w:val="22"/>
              </w:rPr>
              <w:t>Аварий</w:t>
            </w:r>
            <w:r>
              <w:rPr>
                <w:color w:val="000000"/>
                <w:sz w:val="22"/>
                <w:szCs w:val="22"/>
              </w:rPr>
              <w:t>но-спасательные службы, п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жарно-</w:t>
            </w:r>
            <w:r w:rsidRPr="0048542B">
              <w:rPr>
                <w:color w:val="000000"/>
                <w:sz w:val="22"/>
                <w:szCs w:val="22"/>
              </w:rPr>
              <w:t>спасательные, аварийно-спасательные, аварийно-восстанов</w:t>
            </w:r>
            <w:r w:rsidRPr="0048542B">
              <w:rPr>
                <w:color w:val="000000"/>
                <w:sz w:val="22"/>
                <w:szCs w:val="22"/>
              </w:rPr>
              <w:t>и</w:t>
            </w:r>
            <w:r w:rsidRPr="0048542B">
              <w:rPr>
                <w:color w:val="000000"/>
                <w:sz w:val="22"/>
                <w:szCs w:val="22"/>
              </w:rPr>
              <w:t>тельные фо</w:t>
            </w:r>
            <w:r w:rsidRPr="0048542B">
              <w:rPr>
                <w:color w:val="000000"/>
                <w:sz w:val="22"/>
                <w:szCs w:val="22"/>
              </w:rPr>
              <w:t>р</w:t>
            </w:r>
            <w:r w:rsidRPr="0048542B">
              <w:rPr>
                <w:color w:val="000000"/>
                <w:sz w:val="22"/>
                <w:szCs w:val="22"/>
              </w:rPr>
              <w:t>мирования, иные службы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712615" w:rsidRPr="00BD5681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Объект </w:t>
            </w:r>
          </w:p>
          <w:p w:rsidR="00712615" w:rsidRPr="00BD5681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 xml:space="preserve">пожарной </w:t>
            </w:r>
          </w:p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BD5681">
              <w:rPr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896E53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.1 «Методических р</w:t>
            </w:r>
            <w:r w:rsidRPr="0048542B">
              <w:rPr>
                <w:sz w:val="22"/>
              </w:rPr>
              <w:t>е</w:t>
            </w:r>
            <w:r w:rsidRPr="0048542B">
              <w:rPr>
                <w:sz w:val="22"/>
              </w:rPr>
              <w:t>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</w:t>
            </w:r>
            <w:r w:rsidRPr="0048542B">
              <w:rPr>
                <w:sz w:val="22"/>
              </w:rPr>
              <w:t>б</w:t>
            </w:r>
            <w:r w:rsidRPr="0048542B">
              <w:rPr>
                <w:sz w:val="22"/>
              </w:rPr>
              <w:t>ласти гражданской обороны, защиты населения и территорий от чрезвычайных ситуаций, обесп</w:t>
            </w:r>
            <w:r w:rsidRPr="0048542B">
              <w:rPr>
                <w:sz w:val="22"/>
              </w:rPr>
              <w:t>е</w:t>
            </w:r>
            <w:r w:rsidRPr="0048542B">
              <w:rPr>
                <w:sz w:val="22"/>
              </w:rPr>
              <w:t>чения пожарной безопасности и безопасности людей на водных объектах»</w:t>
            </w:r>
            <w:r>
              <w:rPr>
                <w:sz w:val="22"/>
              </w:rPr>
              <w:t>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952A7" w:rsidRDefault="00712615" w:rsidP="000E2CBE">
            <w:pPr>
              <w:tabs>
                <w:tab w:val="left" w:pos="6780"/>
              </w:tabs>
              <w:contextualSpacing/>
              <w:rPr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7124FB" w:rsidRDefault="00712615" w:rsidP="000E2CBE">
            <w:pPr>
              <w:shd w:val="clear" w:color="auto" w:fill="FFFFFF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Показатель макс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мального допустим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го уровня территор</w:t>
            </w:r>
            <w:r>
              <w:rPr>
                <w:color w:val="000000"/>
                <w:sz w:val="22"/>
                <w:szCs w:val="22"/>
              </w:rPr>
              <w:t>и</w:t>
            </w:r>
            <w:r>
              <w:rPr>
                <w:color w:val="000000"/>
                <w:sz w:val="22"/>
                <w:szCs w:val="22"/>
              </w:rPr>
              <w:t>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rPr>
                <w:sz w:val="22"/>
              </w:rPr>
              <w:t>П</w:t>
            </w:r>
            <w:r w:rsidRPr="0048542B">
              <w:rPr>
                <w:sz w:val="22"/>
              </w:rPr>
              <w:t xml:space="preserve">ринят в соответствии с </w:t>
            </w:r>
            <w:proofErr w:type="gramStart"/>
            <w:r w:rsidRPr="0048542B">
              <w:rPr>
                <w:sz w:val="22"/>
              </w:rPr>
              <w:t>ч</w:t>
            </w:r>
            <w:proofErr w:type="gramEnd"/>
            <w:r w:rsidRPr="0048542B">
              <w:rPr>
                <w:sz w:val="22"/>
              </w:rPr>
              <w:t>. 1, ст. 76 Федерального закона от 22.07.2008 N 123-ФЗ «Технический ре</w:t>
            </w:r>
            <w:r w:rsidRPr="0048542B">
              <w:rPr>
                <w:sz w:val="22"/>
              </w:rPr>
              <w:t>г</w:t>
            </w:r>
            <w:r w:rsidRPr="0048542B">
              <w:rPr>
                <w:sz w:val="22"/>
              </w:rPr>
              <w:t>ламент о требованиях пожарной безопасности»</w:t>
            </w:r>
            <w:r>
              <w:rPr>
                <w:sz w:val="22"/>
              </w:rPr>
              <w:t>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shd w:val="clear" w:color="auto" w:fill="auto"/>
          </w:tcPr>
          <w:p w:rsidR="00712615" w:rsidRPr="00ED1741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.5</w:t>
            </w:r>
          </w:p>
        </w:tc>
        <w:tc>
          <w:tcPr>
            <w:tcW w:w="8930" w:type="dxa"/>
            <w:gridSpan w:val="3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</w:rPr>
            </w:pPr>
            <w:r w:rsidRPr="00ED1741">
              <w:rPr>
                <w:rFonts w:eastAsia="TimesNewRomanPSMT"/>
                <w:b/>
              </w:rPr>
              <w:t>Расчетные показатели объектов, относящихся к области образования</w:t>
            </w:r>
            <w:r>
              <w:rPr>
                <w:rFonts w:eastAsia="TimesNewRomanPSMT"/>
                <w:b/>
              </w:rPr>
              <w:t>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584E34">
              <w:rPr>
                <w:sz w:val="22"/>
                <w:szCs w:val="22"/>
              </w:rPr>
              <w:t>3.5.1.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Дошкольные образовател</w:t>
            </w:r>
            <w:r w:rsidRPr="00ED1741">
              <w:rPr>
                <w:sz w:val="22"/>
                <w:szCs w:val="22"/>
              </w:rPr>
              <w:t>ь</w:t>
            </w:r>
            <w:r w:rsidRPr="00ED1741">
              <w:rPr>
                <w:sz w:val="22"/>
                <w:szCs w:val="22"/>
              </w:rPr>
              <w:t>ные организ</w:t>
            </w:r>
            <w:r w:rsidRPr="00ED1741">
              <w:rPr>
                <w:sz w:val="22"/>
                <w:szCs w:val="22"/>
              </w:rPr>
              <w:t>а</w:t>
            </w:r>
            <w:r w:rsidRPr="00ED1741">
              <w:rPr>
                <w:sz w:val="22"/>
                <w:szCs w:val="22"/>
              </w:rPr>
              <w:t>ции</w:t>
            </w:r>
          </w:p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ED1741">
              <w:rPr>
                <w:sz w:val="22"/>
                <w:szCs w:val="22"/>
              </w:rPr>
              <w:t>а</w:t>
            </w:r>
            <w:r w:rsidRPr="00ED1741">
              <w:rPr>
                <w:sz w:val="22"/>
                <w:szCs w:val="22"/>
              </w:rPr>
              <w:t>низаций, включающие требования по размещ</w:t>
            </w:r>
            <w:r w:rsidRPr="00ED1741">
              <w:rPr>
                <w:sz w:val="22"/>
                <w:szCs w:val="22"/>
              </w:rPr>
              <w:t>е</w:t>
            </w:r>
            <w:r w:rsidRPr="00ED1741">
              <w:rPr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Российской</w:t>
            </w:r>
            <w:r w:rsidRPr="006108C6">
              <w:rPr>
                <w:bCs/>
              </w:rPr>
              <w:t xml:space="preserve"> </w:t>
            </w:r>
            <w:r w:rsidRPr="00DE2B19">
              <w:rPr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риальной доступн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ED1741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</w:t>
            </w:r>
            <w:r w:rsidRPr="00DE2B19">
              <w:rPr>
                <w:sz w:val="22"/>
                <w:szCs w:val="22"/>
              </w:rPr>
              <w:t>и</w:t>
            </w:r>
            <w:r w:rsidRPr="00DE2B19">
              <w:rPr>
                <w:sz w:val="22"/>
                <w:szCs w:val="22"/>
              </w:rPr>
              <w:t>альной доступности принят на уровне, устано</w:t>
            </w:r>
            <w:r w:rsidRPr="00DE2B19">
              <w:rPr>
                <w:sz w:val="22"/>
                <w:szCs w:val="22"/>
              </w:rPr>
              <w:t>в</w:t>
            </w:r>
            <w:r w:rsidRPr="00DE2B19">
              <w:rPr>
                <w:sz w:val="22"/>
                <w:szCs w:val="22"/>
              </w:rPr>
              <w:t xml:space="preserve">ленном </w:t>
            </w:r>
            <w:r w:rsidRPr="00DE2B19">
              <w:rPr>
                <w:bCs/>
                <w:sz w:val="22"/>
                <w:szCs w:val="22"/>
              </w:rPr>
              <w:t>СП 42.13330.2011 (</w:t>
            </w:r>
            <w:r w:rsidRPr="00DE2B19">
              <w:rPr>
                <w:sz w:val="22"/>
                <w:szCs w:val="22"/>
              </w:rPr>
              <w:t>пункт 10.4, таблица 5).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sz w:val="22"/>
                <w:szCs w:val="22"/>
              </w:rPr>
            </w:pPr>
            <w:r w:rsidRPr="00584E34">
              <w:rPr>
                <w:sz w:val="22"/>
                <w:szCs w:val="22"/>
              </w:rPr>
              <w:t>3.5.</w:t>
            </w:r>
            <w:r>
              <w:rPr>
                <w:sz w:val="22"/>
                <w:szCs w:val="22"/>
              </w:rPr>
              <w:t>2</w:t>
            </w:r>
            <w:r w:rsidRPr="00584E34">
              <w:rPr>
                <w:sz w:val="22"/>
                <w:szCs w:val="22"/>
              </w:rP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Общеобразов</w:t>
            </w:r>
            <w:r w:rsidRPr="00DE2B19">
              <w:rPr>
                <w:sz w:val="22"/>
                <w:szCs w:val="22"/>
              </w:rPr>
              <w:t>а</w:t>
            </w:r>
            <w:r w:rsidRPr="00DE2B19">
              <w:rPr>
                <w:sz w:val="22"/>
                <w:szCs w:val="22"/>
              </w:rPr>
              <w:t>тельные орг</w:t>
            </w:r>
            <w:r w:rsidRPr="00DE2B19">
              <w:rPr>
                <w:sz w:val="22"/>
                <w:szCs w:val="22"/>
              </w:rPr>
              <w:t>а</w:t>
            </w:r>
            <w:r w:rsidRPr="00DE2B19">
              <w:rPr>
                <w:sz w:val="22"/>
                <w:szCs w:val="22"/>
              </w:rPr>
              <w:t>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DE2B19">
              <w:rPr>
                <w:sz w:val="22"/>
                <w:szCs w:val="22"/>
              </w:rPr>
              <w:t>а</w:t>
            </w:r>
            <w:r w:rsidRPr="00DE2B19">
              <w:rPr>
                <w:sz w:val="22"/>
                <w:szCs w:val="22"/>
              </w:rPr>
              <w:t>низаций, включающие требования по размещ</w:t>
            </w:r>
            <w:r w:rsidRPr="00DE2B19">
              <w:rPr>
                <w:sz w:val="22"/>
                <w:szCs w:val="22"/>
              </w:rPr>
              <w:t>е</w:t>
            </w:r>
            <w:r w:rsidRPr="00DE2B19">
              <w:rPr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</w:t>
            </w:r>
            <w:r w:rsidRPr="00DE2B19">
              <w:rPr>
                <w:bCs/>
                <w:sz w:val="22"/>
                <w:szCs w:val="22"/>
              </w:rPr>
              <w:t>с</w:t>
            </w:r>
            <w:r w:rsidRPr="00DE2B19">
              <w:rPr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риальной доступн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</w:t>
            </w:r>
            <w:r w:rsidRPr="00DE2B19">
              <w:rPr>
                <w:sz w:val="22"/>
                <w:szCs w:val="22"/>
              </w:rPr>
              <w:t>и</w:t>
            </w:r>
            <w:r w:rsidRPr="00DE2B19">
              <w:rPr>
                <w:sz w:val="22"/>
                <w:szCs w:val="22"/>
              </w:rPr>
              <w:t>альной доступности принят на уровне, устано</w:t>
            </w:r>
            <w:r w:rsidRPr="00DE2B19">
              <w:rPr>
                <w:sz w:val="22"/>
                <w:szCs w:val="22"/>
              </w:rPr>
              <w:t>в</w:t>
            </w:r>
            <w:r w:rsidRPr="00DE2B19">
              <w:rPr>
                <w:sz w:val="22"/>
                <w:szCs w:val="22"/>
              </w:rPr>
              <w:t>ленном СП 42.13330.2011 (пункт 10.4, таблица 5).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  <w:r w:rsidRPr="00862FEE">
              <w:rPr>
                <w:sz w:val="22"/>
                <w:szCs w:val="22"/>
              </w:rPr>
              <w:lastRenderedPageBreak/>
              <w:t>3.5.3</w:t>
            </w:r>
            <w:r>
              <w:t>.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  <w:r w:rsidRPr="000169FC">
              <w:rPr>
                <w:sz w:val="22"/>
                <w:szCs w:val="22"/>
              </w:rPr>
              <w:t>Организации дополнител</w:t>
            </w:r>
            <w:r w:rsidRPr="000169FC">
              <w:rPr>
                <w:sz w:val="22"/>
                <w:szCs w:val="22"/>
              </w:rPr>
              <w:t>ь</w:t>
            </w:r>
            <w:r w:rsidRPr="000169FC">
              <w:rPr>
                <w:sz w:val="22"/>
                <w:szCs w:val="22"/>
              </w:rPr>
              <w:t>ного образов</w:t>
            </w:r>
            <w:r w:rsidRPr="000169FC">
              <w:rPr>
                <w:sz w:val="22"/>
                <w:szCs w:val="22"/>
              </w:rPr>
              <w:t>а</w:t>
            </w:r>
            <w:r w:rsidRPr="000169FC">
              <w:rPr>
                <w:sz w:val="22"/>
                <w:szCs w:val="22"/>
              </w:rPr>
              <w:t>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896E53">
              <w:rPr>
                <w:color w:val="000000"/>
                <w:sz w:val="22"/>
                <w:szCs w:val="22"/>
              </w:rPr>
              <w:t>Показатель мин</w:t>
            </w:r>
            <w:r w:rsidRPr="00896E53">
              <w:rPr>
                <w:color w:val="000000"/>
                <w:sz w:val="22"/>
                <w:szCs w:val="22"/>
              </w:rPr>
              <w:t>и</w:t>
            </w:r>
            <w:r w:rsidRPr="00896E53">
              <w:rPr>
                <w:color w:val="000000"/>
                <w:sz w:val="22"/>
                <w:szCs w:val="22"/>
              </w:rPr>
              <w:t>мально допустимого уровня обеспеченн</w:t>
            </w:r>
            <w:r w:rsidRPr="00896E53"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сти</w:t>
            </w:r>
            <w:r w:rsidRPr="00ED1741">
              <w:rPr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proofErr w:type="gramStart"/>
            <w:r w:rsidRPr="00DE2B19">
              <w:rPr>
                <w:sz w:val="22"/>
                <w:szCs w:val="22"/>
              </w:rPr>
              <w:t>Принят с учетом Методические рекомендации по развитию сети образовательных организаций и обеспеченности населения услугами таких орг</w:t>
            </w:r>
            <w:r w:rsidRPr="00DE2B19">
              <w:rPr>
                <w:sz w:val="22"/>
                <w:szCs w:val="22"/>
              </w:rPr>
              <w:t>а</w:t>
            </w:r>
            <w:r w:rsidRPr="00DE2B19">
              <w:rPr>
                <w:sz w:val="22"/>
                <w:szCs w:val="22"/>
              </w:rPr>
              <w:t>низаций, включающие требования по размещ</w:t>
            </w:r>
            <w:r w:rsidRPr="00DE2B19">
              <w:rPr>
                <w:sz w:val="22"/>
                <w:szCs w:val="22"/>
              </w:rPr>
              <w:t>е</w:t>
            </w:r>
            <w:r w:rsidRPr="00DE2B19">
              <w:rPr>
                <w:sz w:val="22"/>
                <w:szCs w:val="22"/>
              </w:rPr>
              <w:t xml:space="preserve">нию организаций сферы образования, в том числе в сельской местности, утвержденные </w:t>
            </w:r>
            <w:proofErr w:type="gramEnd"/>
          </w:p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bCs/>
                <w:sz w:val="22"/>
                <w:szCs w:val="22"/>
              </w:rPr>
              <w:t>Письмом Министерства образования и науки Ро</w:t>
            </w:r>
            <w:r w:rsidRPr="00DE2B19">
              <w:rPr>
                <w:bCs/>
                <w:sz w:val="22"/>
                <w:szCs w:val="22"/>
              </w:rPr>
              <w:t>с</w:t>
            </w:r>
            <w:r w:rsidRPr="00DE2B19">
              <w:rPr>
                <w:bCs/>
                <w:sz w:val="22"/>
                <w:szCs w:val="22"/>
              </w:rPr>
              <w:t>сийской Федерации от 4 мая 2016 г. N АК-950/02</w:t>
            </w:r>
          </w:p>
        </w:tc>
      </w:tr>
      <w:tr w:rsidR="00712615" w:rsidTr="000E2CBE">
        <w:trPr>
          <w:trHeight w:val="126"/>
        </w:trPr>
        <w:tc>
          <w:tcPr>
            <w:tcW w:w="568" w:type="dxa"/>
            <w:vMerge/>
            <w:tcBorders>
              <w:bottom w:val="single" w:sz="12" w:space="0" w:color="404040"/>
            </w:tcBorders>
            <w:shd w:val="clear" w:color="auto" w:fill="auto"/>
          </w:tcPr>
          <w:p w:rsidR="00712615" w:rsidRDefault="00712615" w:rsidP="000E2CBE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</w:pPr>
          </w:p>
        </w:tc>
        <w:tc>
          <w:tcPr>
            <w:tcW w:w="1701" w:type="dxa"/>
            <w:vMerge/>
            <w:tcBorders>
              <w:bottom w:val="single" w:sz="12" w:space="0" w:color="404040"/>
              <w:right w:val="single" w:sz="4" w:space="0" w:color="auto"/>
            </w:tcBorders>
            <w:shd w:val="clear" w:color="auto" w:fill="auto"/>
          </w:tcPr>
          <w:p w:rsidR="00712615" w:rsidRPr="00ED1741" w:rsidRDefault="00712615" w:rsidP="000E2CBE">
            <w:pPr>
              <w:tabs>
                <w:tab w:val="left" w:pos="6780"/>
              </w:tabs>
              <w:contextualSpacing/>
              <w:rPr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ED1741" w:rsidRDefault="00712615" w:rsidP="000E2CBE">
            <w:pPr>
              <w:shd w:val="clear" w:color="auto" w:fill="FFFFFF"/>
              <w:contextualSpacing/>
              <w:rPr>
                <w:sz w:val="22"/>
                <w:szCs w:val="22"/>
              </w:rPr>
            </w:pPr>
            <w:r w:rsidRPr="00ED1741">
              <w:rPr>
                <w:sz w:val="22"/>
                <w:szCs w:val="22"/>
              </w:rPr>
              <w:t>Предельные значения показателей террит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риальной доступн</w:t>
            </w:r>
            <w:r w:rsidRPr="00ED1741">
              <w:rPr>
                <w:sz w:val="22"/>
                <w:szCs w:val="22"/>
              </w:rPr>
              <w:t>о</w:t>
            </w:r>
            <w:r w:rsidRPr="00ED1741">
              <w:rPr>
                <w:sz w:val="22"/>
                <w:szCs w:val="22"/>
              </w:rPr>
              <w:t>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12" w:space="0" w:color="404040"/>
            </w:tcBorders>
            <w:shd w:val="clear" w:color="auto" w:fill="auto"/>
          </w:tcPr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СП 42.13330.2011 (Приложение Ж);</w:t>
            </w:r>
          </w:p>
          <w:p w:rsidR="00712615" w:rsidRPr="00DE2B19" w:rsidRDefault="00712615" w:rsidP="000E2CBE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DE2B19">
              <w:rPr>
                <w:sz w:val="22"/>
                <w:szCs w:val="22"/>
              </w:rPr>
              <w:t>Максимально допустимый уровень территор</w:t>
            </w:r>
            <w:r w:rsidRPr="00DE2B19">
              <w:rPr>
                <w:sz w:val="22"/>
                <w:szCs w:val="22"/>
              </w:rPr>
              <w:t>и</w:t>
            </w:r>
            <w:r w:rsidRPr="00DE2B19">
              <w:rPr>
                <w:sz w:val="22"/>
                <w:szCs w:val="22"/>
              </w:rPr>
              <w:t>альной доступности принят на уровне, устано</w:t>
            </w:r>
            <w:r w:rsidRPr="00DE2B19">
              <w:rPr>
                <w:sz w:val="22"/>
                <w:szCs w:val="22"/>
              </w:rPr>
              <w:t>в</w:t>
            </w:r>
            <w:r w:rsidRPr="00DE2B19">
              <w:rPr>
                <w:sz w:val="22"/>
                <w:szCs w:val="22"/>
              </w:rPr>
              <w:t>ленном СП 42.13330.2011 (пункт 10.4, таблица 5).</w:t>
            </w:r>
          </w:p>
        </w:tc>
      </w:tr>
    </w:tbl>
    <w:p w:rsidR="00BF7FBF" w:rsidRDefault="00E83357" w:rsidP="00E83357">
      <w:r>
        <w:t xml:space="preserve">                                                                                                                                     </w:t>
      </w:r>
      <w:r w:rsidR="00BF7FBF">
        <w:t>Приложение № 3</w:t>
      </w:r>
    </w:p>
    <w:p w:rsidR="00E83357" w:rsidRDefault="00E83357" w:rsidP="00E83357">
      <w:pPr>
        <w:jc w:val="right"/>
      </w:pPr>
      <w:r>
        <w:t xml:space="preserve">к  решению районного Собрания </w:t>
      </w:r>
    </w:p>
    <w:p w:rsidR="00E83357" w:rsidRDefault="00E83357" w:rsidP="00E83357">
      <w:pPr>
        <w:jc w:val="right"/>
      </w:pPr>
      <w:r>
        <w:t>Красноармейского муниципального района</w:t>
      </w:r>
    </w:p>
    <w:p w:rsidR="00E83357" w:rsidRDefault="00E83357" w:rsidP="00E83357">
      <w:pPr>
        <w:jc w:val="right"/>
      </w:pPr>
      <w:r>
        <w:t>Саратовской области</w:t>
      </w:r>
    </w:p>
    <w:p w:rsidR="00BF7FBF" w:rsidRPr="00821D86" w:rsidRDefault="00E83357" w:rsidP="00E83357">
      <w:pPr>
        <w:spacing w:line="360" w:lineRule="auto"/>
        <w:rPr>
          <w:b/>
        </w:rPr>
      </w:pPr>
      <w:r>
        <w:t xml:space="preserve">                                                           </w:t>
      </w:r>
      <w:r w:rsidR="00BF7FBF" w:rsidRPr="00821D86">
        <w:rPr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BF7FBF" w:rsidTr="000E2CBE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BF7FBF" w:rsidRDefault="00BF7FBF" w:rsidP="00E83357">
            <w:pPr>
              <w:spacing w:line="276" w:lineRule="auto"/>
              <w:contextualSpacing/>
              <w:jc w:val="both"/>
              <w:rPr>
                <w:spacing w:val="-6"/>
                <w:lang w:eastAsia="en-US"/>
              </w:rPr>
            </w:pPr>
          </w:p>
          <w:p w:rsidR="00BF7FBF" w:rsidRDefault="00BF7FBF" w:rsidP="000E2CBE">
            <w:pPr>
              <w:spacing w:line="276" w:lineRule="auto"/>
              <w:ind w:left="176"/>
              <w:contextualSpacing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</w:p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BF7FBF" w:rsidTr="000E2CBE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BF7FBF" w:rsidRDefault="00BF7FBF" w:rsidP="000E2CBE">
            <w:pPr>
              <w:spacing w:line="276" w:lineRule="auto"/>
              <w:ind w:left="176"/>
              <w:contextualSpacing/>
              <w:jc w:val="both"/>
              <w:rPr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sz w:val="10"/>
                <w:lang w:eastAsia="en-US"/>
              </w:rPr>
            </w:pPr>
          </w:p>
        </w:tc>
      </w:tr>
      <w:tr w:rsidR="00BF7FBF" w:rsidTr="000E2CBE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BF7FBF" w:rsidRDefault="00BF7FBF" w:rsidP="000E2CBE">
            <w:pPr>
              <w:spacing w:line="276" w:lineRule="auto"/>
              <w:ind w:left="176"/>
              <w:jc w:val="both"/>
              <w:rPr>
                <w:b/>
                <w:spacing w:val="-6"/>
                <w:sz w:val="12"/>
                <w:szCs w:val="12"/>
                <w:lang w:eastAsia="en-US"/>
              </w:rPr>
            </w:pPr>
          </w:p>
          <w:p w:rsidR="00BF7FBF" w:rsidRDefault="00BF7FBF" w:rsidP="000E2CBE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BF7FBF" w:rsidRDefault="00BF7FBF" w:rsidP="000E2CBE">
            <w:pPr>
              <w:spacing w:line="276" w:lineRule="auto"/>
              <w:ind w:left="318"/>
              <w:jc w:val="both"/>
              <w:rPr>
                <w:b/>
                <w:spacing w:val="-6"/>
                <w:lang w:eastAsia="en-US"/>
              </w:rPr>
            </w:pPr>
            <w:proofErr w:type="spellStart"/>
            <w:r>
              <w:rPr>
                <w:b/>
                <w:spacing w:val="-6"/>
                <w:lang w:eastAsia="en-US"/>
              </w:rPr>
              <w:t>Сплавнухинского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</w:t>
            </w:r>
            <w:r>
              <w:rPr>
                <w:b/>
                <w:spacing w:val="-6"/>
                <w:lang w:eastAsia="en-US"/>
              </w:rPr>
              <w:t>о</w:t>
            </w:r>
            <w:r>
              <w:rPr>
                <w:b/>
                <w:spacing w:val="-6"/>
                <w:lang w:eastAsia="en-US"/>
              </w:rPr>
              <w:t>го района Саратовской области</w:t>
            </w:r>
          </w:p>
          <w:p w:rsidR="00BF7FBF" w:rsidRDefault="00BF7FBF" w:rsidP="000E2CBE">
            <w:pPr>
              <w:spacing w:line="276" w:lineRule="auto"/>
              <w:ind w:left="176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F7FBF" w:rsidTr="000E2CBE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BF7FBF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1.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>
              <w:rPr>
                <w:rFonts w:eastAsia="Calibri"/>
                <w:bCs/>
                <w:lang w:eastAsia="en-US"/>
              </w:rPr>
              <w:t>ъ</w:t>
            </w:r>
            <w:r>
              <w:rPr>
                <w:rFonts w:eastAsia="Calibri"/>
                <w:bCs/>
                <w:lang w:eastAsia="en-US"/>
              </w:rPr>
              <w:t xml:space="preserve">ектами местного значения </w:t>
            </w:r>
            <w:r>
              <w:t xml:space="preserve">муниципального образования </w:t>
            </w:r>
            <w:r>
              <w:rPr>
                <w:rFonts w:eastAsia="Calibri"/>
                <w:bCs/>
                <w:lang w:eastAsia="en-US"/>
              </w:rPr>
              <w:t>в области инженерного обе</w:t>
            </w:r>
            <w:r>
              <w:rPr>
                <w:rFonts w:eastAsia="Calibri"/>
                <w:bCs/>
                <w:lang w:eastAsia="en-US"/>
              </w:rPr>
              <w:t>с</w:t>
            </w:r>
            <w:r>
              <w:rPr>
                <w:rFonts w:eastAsia="Calibri"/>
                <w:bCs/>
                <w:lang w:eastAsia="en-US"/>
              </w:rPr>
              <w:t>печения (</w:t>
            </w:r>
            <w:proofErr w:type="spellStart"/>
            <w:r>
              <w:rPr>
                <w:rFonts w:eastAsia="Calibri"/>
                <w:bCs/>
                <w:lang w:eastAsia="en-US"/>
              </w:rPr>
              <w:t>электро</w:t>
            </w:r>
            <w:proofErr w:type="spellEnd"/>
            <w:r>
              <w:rPr>
                <w:rFonts w:eastAsia="Calibri"/>
                <w:bCs/>
                <w:lang w:eastAsia="en-US"/>
              </w:rPr>
              <w:t>-, тепл</w:t>
            </w:r>
            <w:proofErr w:type="gramStart"/>
            <w:r>
              <w:rPr>
                <w:rFonts w:eastAsia="Calibri"/>
                <w:bCs/>
                <w:lang w:eastAsia="en-US"/>
              </w:rPr>
              <w:t>о-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газо</w:t>
            </w:r>
            <w:proofErr w:type="spellEnd"/>
            <w:r>
              <w:rPr>
                <w:rFonts w:eastAsia="Calibri"/>
                <w:bCs/>
                <w:lang w:eastAsia="en-US"/>
              </w:rPr>
              <w:t>-, водоснабжение населения и водоотведение) и показ</w:t>
            </w:r>
            <w:r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 xml:space="preserve">тели максимально допустимого уровня территориальной доступности таких объектов для населения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Сплавнухинского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F7FBF" w:rsidTr="000E2CBE">
        <w:trPr>
          <w:trHeight w:val="315"/>
        </w:trPr>
        <w:tc>
          <w:tcPr>
            <w:tcW w:w="9357" w:type="dxa"/>
            <w:hideMark/>
          </w:tcPr>
          <w:p w:rsidR="00BF7FBF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</w:tr>
      <w:tr w:rsidR="00BF7FBF" w:rsidTr="000E2CBE">
        <w:trPr>
          <w:trHeight w:val="315"/>
        </w:trPr>
        <w:tc>
          <w:tcPr>
            <w:tcW w:w="9357" w:type="dxa"/>
            <w:hideMark/>
          </w:tcPr>
          <w:p w:rsidR="00BF7FBF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BF7FBF" w:rsidTr="000E2CBE">
        <w:trPr>
          <w:trHeight w:val="315"/>
        </w:trPr>
        <w:tc>
          <w:tcPr>
            <w:tcW w:w="9357" w:type="dxa"/>
            <w:hideMark/>
          </w:tcPr>
          <w:p w:rsidR="00BF7FBF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</w:tr>
      <w:tr w:rsidR="00BF7FBF" w:rsidTr="000E2CBE">
        <w:trPr>
          <w:trHeight w:val="315"/>
        </w:trPr>
        <w:tc>
          <w:tcPr>
            <w:tcW w:w="9357" w:type="dxa"/>
            <w:hideMark/>
          </w:tcPr>
          <w:p w:rsidR="00BF7FBF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BF7FBF" w:rsidTr="000E2CBE">
        <w:trPr>
          <w:trHeight w:val="315"/>
        </w:trPr>
        <w:tc>
          <w:tcPr>
            <w:tcW w:w="9357" w:type="dxa"/>
          </w:tcPr>
          <w:p w:rsidR="00BF7FBF" w:rsidRDefault="00BF7FBF" w:rsidP="000E2CBE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 w:rsidRPr="00A1044E">
              <w:rPr>
                <w:rFonts w:eastAsia="Calibri"/>
                <w:bCs/>
                <w:lang w:eastAsia="en-US"/>
              </w:rPr>
              <w:t>1.5. Расчетные показатели объектов, отн</w:t>
            </w:r>
            <w:r>
              <w:rPr>
                <w:rFonts w:eastAsia="Calibri"/>
                <w:bCs/>
                <w:lang w:eastAsia="en-US"/>
              </w:rPr>
              <w:t>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BF7FBF" w:rsidTr="000E2CBE">
        <w:trPr>
          <w:trHeight w:val="315"/>
        </w:trPr>
        <w:tc>
          <w:tcPr>
            <w:tcW w:w="9357" w:type="dxa"/>
            <w:hideMark/>
          </w:tcPr>
          <w:p w:rsidR="00BF7FBF" w:rsidRDefault="00BF7FBF" w:rsidP="000E2CBE">
            <w:pPr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2.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об</w:t>
            </w:r>
            <w:r>
              <w:rPr>
                <w:rFonts w:eastAsia="Calibri"/>
                <w:bCs/>
                <w:lang w:eastAsia="en-US"/>
              </w:rPr>
              <w:t>ъ</w:t>
            </w:r>
            <w:r>
              <w:rPr>
                <w:rFonts w:eastAsia="Calibri"/>
                <w:bCs/>
                <w:lang w:eastAsia="en-US"/>
              </w:rPr>
              <w:t>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BF7FBF" w:rsidTr="000E2CBE">
        <w:trPr>
          <w:trHeight w:val="315"/>
        </w:trPr>
        <w:tc>
          <w:tcPr>
            <w:tcW w:w="9357" w:type="dxa"/>
            <w:hideMark/>
          </w:tcPr>
          <w:p w:rsidR="00BF7FBF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3.</w:t>
            </w:r>
            <w:r>
              <w:rPr>
                <w:rFonts w:eastAsia="Calibri"/>
                <w:bCs/>
                <w:lang w:eastAsia="en-US"/>
              </w:rPr>
              <w:t xml:space="preserve"> Расчётные показатели минимально допустимого уровня обеспеченности ин</w:t>
            </w:r>
            <w:r>
              <w:rPr>
                <w:rFonts w:eastAsia="Calibri"/>
                <w:bCs/>
                <w:lang w:eastAsia="en-US"/>
              </w:rPr>
              <w:t>ы</w:t>
            </w:r>
            <w:r>
              <w:rPr>
                <w:rFonts w:eastAsia="Calibri"/>
                <w:bCs/>
                <w:lang w:eastAsia="en-US"/>
              </w:rPr>
              <w:t xml:space="preserve">ми объектами, связанными с решением вопросов местного значения </w:t>
            </w:r>
            <w:proofErr w:type="spellStart"/>
            <w:r>
              <w:rPr>
                <w:rFonts w:eastAsia="Calibri"/>
                <w:bCs/>
                <w:lang w:eastAsia="en-US"/>
              </w:rPr>
              <w:t>Сплавнухинского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BF7FBF" w:rsidTr="000E2CBE">
        <w:trPr>
          <w:trHeight w:val="315"/>
        </w:trPr>
        <w:tc>
          <w:tcPr>
            <w:tcW w:w="9357" w:type="dxa"/>
            <w:hideMark/>
          </w:tcPr>
          <w:p w:rsidR="00BF7FBF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BF7FBF" w:rsidTr="000E2CBE">
        <w:trPr>
          <w:trHeight w:val="315"/>
        </w:trPr>
        <w:tc>
          <w:tcPr>
            <w:tcW w:w="9357" w:type="dxa"/>
          </w:tcPr>
          <w:p w:rsidR="00BF7FBF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</w:tr>
      <w:tr w:rsidR="00BF7FBF" w:rsidTr="000E2CBE">
        <w:trPr>
          <w:trHeight w:val="315"/>
        </w:trPr>
        <w:tc>
          <w:tcPr>
            <w:tcW w:w="9357" w:type="dxa"/>
          </w:tcPr>
          <w:p w:rsidR="00BF7FBF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3.3.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>благоустройства территории</w:t>
            </w:r>
          </w:p>
        </w:tc>
        <w:tc>
          <w:tcPr>
            <w:tcW w:w="532" w:type="dxa"/>
            <w:vAlign w:val="bottom"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BF7FBF" w:rsidTr="000E2CBE">
        <w:trPr>
          <w:trHeight w:val="315"/>
        </w:trPr>
        <w:tc>
          <w:tcPr>
            <w:tcW w:w="9357" w:type="dxa"/>
          </w:tcPr>
          <w:p w:rsidR="00BF7FBF" w:rsidRPr="00B96105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3.4. Расчетные показатели в области </w:t>
            </w:r>
            <w:r w:rsidRPr="00B96105">
              <w:rPr>
                <w:rFonts w:eastAsia="Calibri"/>
                <w:bCs/>
                <w:lang w:eastAsia="en-US"/>
              </w:rPr>
              <w:t xml:space="preserve">гражданской обороны и  </w:t>
            </w:r>
          </w:p>
          <w:p w:rsidR="00BF7FBF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 w:rsidRPr="00B96105">
              <w:rPr>
                <w:rFonts w:eastAsia="Calibri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BF7FBF" w:rsidTr="000E2CBE">
        <w:trPr>
          <w:trHeight w:val="315"/>
        </w:trPr>
        <w:tc>
          <w:tcPr>
            <w:tcW w:w="9357" w:type="dxa"/>
          </w:tcPr>
          <w:p w:rsidR="00BF7FBF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3.5. Расчетные показатели дошкольных и школьных образовательных организ</w:t>
            </w:r>
            <w:r>
              <w:rPr>
                <w:rFonts w:eastAsia="Calibri"/>
                <w:bCs/>
                <w:lang w:eastAsia="en-US"/>
              </w:rPr>
              <w:t>а</w:t>
            </w:r>
            <w:r>
              <w:rPr>
                <w:rFonts w:eastAsia="Calibri"/>
                <w:bCs/>
                <w:lang w:eastAsia="en-US"/>
              </w:rPr>
              <w:t>ций</w:t>
            </w:r>
          </w:p>
        </w:tc>
        <w:tc>
          <w:tcPr>
            <w:tcW w:w="532" w:type="dxa"/>
            <w:vAlign w:val="bottom"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</w:tr>
      <w:tr w:rsidR="00BF7FBF" w:rsidTr="000E2CBE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BF7FBF" w:rsidRDefault="00BF7FBF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BF7FBF" w:rsidRDefault="00BF7FBF" w:rsidP="000E2CBE">
            <w:pPr>
              <w:spacing w:line="276" w:lineRule="auto"/>
              <w:ind w:left="210"/>
              <w:jc w:val="both"/>
              <w:rPr>
                <w:b/>
                <w:spacing w:val="-6"/>
                <w:lang w:eastAsia="en-US"/>
              </w:rPr>
            </w:pPr>
            <w:r>
              <w:rPr>
                <w:b/>
                <w:spacing w:val="-6"/>
                <w:lang w:eastAsia="en-US"/>
              </w:rPr>
      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>
              <w:rPr>
                <w:b/>
                <w:spacing w:val="-6"/>
                <w:lang w:eastAsia="en-US"/>
              </w:rPr>
              <w:t>Сплавнухинского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</w:t>
            </w:r>
            <w:r>
              <w:rPr>
                <w:b/>
                <w:spacing w:val="-6"/>
                <w:lang w:eastAsia="en-US"/>
              </w:rPr>
              <w:t>и</w:t>
            </w:r>
            <w:r>
              <w:rPr>
                <w:b/>
                <w:spacing w:val="-6"/>
                <w:lang w:eastAsia="en-US"/>
              </w:rPr>
              <w:lastRenderedPageBreak/>
              <w:t>ципального образования Красноармейского муниципального района Саратовской области</w:t>
            </w:r>
          </w:p>
          <w:p w:rsidR="00BF7FBF" w:rsidRDefault="00BF7FBF" w:rsidP="000E2CBE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17</w:t>
            </w:r>
          </w:p>
        </w:tc>
      </w:tr>
      <w:tr w:rsidR="00BF7FBF" w:rsidTr="000E2CBE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BF7FBF" w:rsidRDefault="00BF7FBF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BF7FBF" w:rsidRDefault="00BF7FBF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BF7FBF" w:rsidRDefault="00BF7FBF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BF7FBF" w:rsidRDefault="00BF7FBF" w:rsidP="000E2CBE">
            <w:pPr>
              <w:spacing w:line="276" w:lineRule="auto"/>
              <w:ind w:left="210"/>
              <w:jc w:val="both"/>
              <w:rPr>
                <w:b/>
                <w:spacing w:val="-6"/>
                <w:sz w:val="4"/>
                <w:szCs w:val="4"/>
                <w:lang w:eastAsia="en-US"/>
              </w:rPr>
            </w:pPr>
          </w:p>
          <w:p w:rsidR="00BF7FBF" w:rsidRDefault="00BF7FBF" w:rsidP="000E2CBE">
            <w:pPr>
              <w:spacing w:line="276" w:lineRule="auto"/>
              <w:ind w:left="210"/>
              <w:jc w:val="both"/>
              <w:rPr>
                <w:spacing w:val="-6"/>
                <w:sz w:val="4"/>
                <w:szCs w:val="4"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Правила и область применения расчётных показателей, содержащихся в осно</w:t>
            </w:r>
            <w:r>
              <w:rPr>
                <w:rFonts w:eastAsia="Calibri"/>
                <w:b/>
                <w:bCs/>
                <w:lang w:eastAsia="en-US"/>
              </w:rPr>
              <w:t>в</w:t>
            </w:r>
            <w:r>
              <w:rPr>
                <w:rFonts w:eastAsia="Calibri"/>
                <w:b/>
                <w:bCs/>
                <w:lang w:eastAsia="en-US"/>
              </w:rPr>
              <w:t xml:space="preserve">ной части местных нормативов градостроительного проектирования </w:t>
            </w:r>
            <w:proofErr w:type="spellStart"/>
            <w:r>
              <w:rPr>
                <w:b/>
                <w:spacing w:val="-6"/>
                <w:lang w:eastAsia="en-US"/>
              </w:rPr>
              <w:t>Сплавн</w:t>
            </w:r>
            <w:r>
              <w:rPr>
                <w:b/>
                <w:spacing w:val="-6"/>
                <w:lang w:eastAsia="en-US"/>
              </w:rPr>
              <w:t>у</w:t>
            </w:r>
            <w:r>
              <w:rPr>
                <w:b/>
                <w:spacing w:val="-6"/>
                <w:lang w:eastAsia="en-US"/>
              </w:rPr>
              <w:t>хинского</w:t>
            </w:r>
            <w:proofErr w:type="spellEnd"/>
            <w:r>
              <w:rPr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</w:t>
            </w:r>
            <w:r>
              <w:rPr>
                <w:rFonts w:eastAsia="Calibri"/>
                <w:b/>
                <w:bCs/>
                <w:lang w:eastAsia="en-US"/>
              </w:rPr>
              <w:t xml:space="preserve"> Саратовской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BF7FBF" w:rsidTr="000E2CBE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BF7FBF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</w:tr>
      <w:tr w:rsidR="00BF7FBF" w:rsidTr="000E2CBE">
        <w:trPr>
          <w:trHeight w:val="181"/>
        </w:trPr>
        <w:tc>
          <w:tcPr>
            <w:tcW w:w="9357" w:type="dxa"/>
            <w:hideMark/>
          </w:tcPr>
          <w:p w:rsidR="00BF7FBF" w:rsidRDefault="00BF7FBF" w:rsidP="000E2CBE">
            <w:pPr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</w:tr>
      <w:tr w:rsidR="00BF7FBF" w:rsidTr="000E2CBE">
        <w:trPr>
          <w:trHeight w:val="181"/>
        </w:trPr>
        <w:tc>
          <w:tcPr>
            <w:tcW w:w="9357" w:type="dxa"/>
            <w:hideMark/>
          </w:tcPr>
          <w:p w:rsidR="00BF7FBF" w:rsidRDefault="00BF7FBF" w:rsidP="000E2CBE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  <w:tr w:rsidR="00BF7FBF" w:rsidTr="000E2CBE">
        <w:trPr>
          <w:trHeight w:val="181"/>
        </w:trPr>
        <w:tc>
          <w:tcPr>
            <w:tcW w:w="9357" w:type="dxa"/>
            <w:hideMark/>
          </w:tcPr>
          <w:p w:rsidR="00BF7FBF" w:rsidRDefault="00BF7FBF" w:rsidP="000E2CBE">
            <w:pPr>
              <w:spacing w:line="276" w:lineRule="auto"/>
              <w:ind w:left="744"/>
              <w:jc w:val="both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Демонстрационные числовые примеры решения типовых задач </w:t>
            </w:r>
            <w:proofErr w:type="gramStart"/>
            <w:r>
              <w:rPr>
                <w:rFonts w:eastAsia="Calibri"/>
                <w:bCs/>
                <w:lang w:eastAsia="en-US"/>
              </w:rPr>
              <w:t>с</w:t>
            </w:r>
            <w:proofErr w:type="gramEnd"/>
            <w:r>
              <w:rPr>
                <w:rFonts w:eastAsia="Calibri"/>
                <w:bCs/>
                <w:lang w:eastAsia="en-US"/>
              </w:rPr>
              <w:t xml:space="preserve"> </w:t>
            </w:r>
          </w:p>
          <w:p w:rsidR="00BF7FBF" w:rsidRDefault="00BF7FBF" w:rsidP="000E2CBE">
            <w:pPr>
              <w:spacing w:line="276" w:lineRule="auto"/>
              <w:ind w:left="744"/>
              <w:jc w:val="both"/>
              <w:rPr>
                <w:spacing w:val="-6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BF7FBF" w:rsidRDefault="00BF7FBF" w:rsidP="000E2CBE">
            <w:pPr>
              <w:spacing w:line="276" w:lineRule="auto"/>
              <w:ind w:left="-284" w:right="-43"/>
              <w:jc w:val="right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</w:tr>
    </w:tbl>
    <w:p w:rsidR="00BF7FBF" w:rsidRDefault="00BF7FBF" w:rsidP="00E83357"/>
    <w:sectPr w:rsidR="00BF7FBF" w:rsidSect="00E061DC">
      <w:pgSz w:w="11906" w:h="16838"/>
      <w:pgMar w:top="1418" w:right="737" w:bottom="568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3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autoHyphenation/>
  <w:hyphenationZone w:val="357"/>
  <w:noPunctuationKerning/>
  <w:characterSpacingControl w:val="doNotCompress"/>
  <w:compat/>
  <w:rsids>
    <w:rsidRoot w:val="00673A92"/>
    <w:rsid w:val="00050CEC"/>
    <w:rsid w:val="00081471"/>
    <w:rsid w:val="000A1091"/>
    <w:rsid w:val="000C3CBC"/>
    <w:rsid w:val="000C726A"/>
    <w:rsid w:val="000F0E71"/>
    <w:rsid w:val="000F697A"/>
    <w:rsid w:val="00111D55"/>
    <w:rsid w:val="0016053E"/>
    <w:rsid w:val="00194F3A"/>
    <w:rsid w:val="001D6B70"/>
    <w:rsid w:val="001F620C"/>
    <w:rsid w:val="00204D05"/>
    <w:rsid w:val="0021388B"/>
    <w:rsid w:val="002A0BE4"/>
    <w:rsid w:val="002B0825"/>
    <w:rsid w:val="002C026F"/>
    <w:rsid w:val="002E09FA"/>
    <w:rsid w:val="002F133D"/>
    <w:rsid w:val="003009BE"/>
    <w:rsid w:val="00302CCB"/>
    <w:rsid w:val="00311258"/>
    <w:rsid w:val="00326B2A"/>
    <w:rsid w:val="00327861"/>
    <w:rsid w:val="00337238"/>
    <w:rsid w:val="00337D42"/>
    <w:rsid w:val="00375D03"/>
    <w:rsid w:val="0039486F"/>
    <w:rsid w:val="00397AE9"/>
    <w:rsid w:val="003A545D"/>
    <w:rsid w:val="003A68B4"/>
    <w:rsid w:val="003D6687"/>
    <w:rsid w:val="00410822"/>
    <w:rsid w:val="00424211"/>
    <w:rsid w:val="00431B20"/>
    <w:rsid w:val="00436B33"/>
    <w:rsid w:val="0045023A"/>
    <w:rsid w:val="004616F0"/>
    <w:rsid w:val="00467E14"/>
    <w:rsid w:val="00471228"/>
    <w:rsid w:val="004B1767"/>
    <w:rsid w:val="004C413E"/>
    <w:rsid w:val="004E0D33"/>
    <w:rsid w:val="005121C6"/>
    <w:rsid w:val="005146BB"/>
    <w:rsid w:val="00522ACC"/>
    <w:rsid w:val="005341D1"/>
    <w:rsid w:val="00543EF5"/>
    <w:rsid w:val="00562919"/>
    <w:rsid w:val="00584E35"/>
    <w:rsid w:val="005865A0"/>
    <w:rsid w:val="00591BD3"/>
    <w:rsid w:val="0059446D"/>
    <w:rsid w:val="005B0068"/>
    <w:rsid w:val="005B5ACA"/>
    <w:rsid w:val="005D59C3"/>
    <w:rsid w:val="005E13B6"/>
    <w:rsid w:val="0060273D"/>
    <w:rsid w:val="0060784B"/>
    <w:rsid w:val="00673A92"/>
    <w:rsid w:val="00674B9A"/>
    <w:rsid w:val="006A2B25"/>
    <w:rsid w:val="006B1CA8"/>
    <w:rsid w:val="006C2E71"/>
    <w:rsid w:val="00712615"/>
    <w:rsid w:val="007174E6"/>
    <w:rsid w:val="007224E5"/>
    <w:rsid w:val="007319D6"/>
    <w:rsid w:val="0074166F"/>
    <w:rsid w:val="00760407"/>
    <w:rsid w:val="00761194"/>
    <w:rsid w:val="00781F42"/>
    <w:rsid w:val="007B45DF"/>
    <w:rsid w:val="00807B6D"/>
    <w:rsid w:val="00826B3F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02AE"/>
    <w:rsid w:val="008E192D"/>
    <w:rsid w:val="008E71C8"/>
    <w:rsid w:val="008F3BF6"/>
    <w:rsid w:val="00903357"/>
    <w:rsid w:val="00907FDF"/>
    <w:rsid w:val="0091182D"/>
    <w:rsid w:val="0094452E"/>
    <w:rsid w:val="00961D3F"/>
    <w:rsid w:val="00966433"/>
    <w:rsid w:val="009830DB"/>
    <w:rsid w:val="0099062A"/>
    <w:rsid w:val="009958BB"/>
    <w:rsid w:val="00996E58"/>
    <w:rsid w:val="009E3064"/>
    <w:rsid w:val="009F21FE"/>
    <w:rsid w:val="009F3FA8"/>
    <w:rsid w:val="00A0607F"/>
    <w:rsid w:val="00A12DB1"/>
    <w:rsid w:val="00A214F8"/>
    <w:rsid w:val="00A22BE3"/>
    <w:rsid w:val="00A2357B"/>
    <w:rsid w:val="00A37639"/>
    <w:rsid w:val="00A44D59"/>
    <w:rsid w:val="00A84A2C"/>
    <w:rsid w:val="00AA0CE4"/>
    <w:rsid w:val="00AB0D58"/>
    <w:rsid w:val="00AF7AD9"/>
    <w:rsid w:val="00B03B77"/>
    <w:rsid w:val="00B27CD3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B7D9B"/>
    <w:rsid w:val="00BD0ED4"/>
    <w:rsid w:val="00BE6199"/>
    <w:rsid w:val="00BF0251"/>
    <w:rsid w:val="00BF7FBF"/>
    <w:rsid w:val="00C44414"/>
    <w:rsid w:val="00C4717E"/>
    <w:rsid w:val="00C64AB4"/>
    <w:rsid w:val="00C92C61"/>
    <w:rsid w:val="00CE13B4"/>
    <w:rsid w:val="00CF0BCC"/>
    <w:rsid w:val="00D05327"/>
    <w:rsid w:val="00D63E35"/>
    <w:rsid w:val="00D75B91"/>
    <w:rsid w:val="00D76EB6"/>
    <w:rsid w:val="00D838BE"/>
    <w:rsid w:val="00D96496"/>
    <w:rsid w:val="00DA6033"/>
    <w:rsid w:val="00DB0086"/>
    <w:rsid w:val="00DC7F25"/>
    <w:rsid w:val="00DD4A5D"/>
    <w:rsid w:val="00DD514A"/>
    <w:rsid w:val="00DE068D"/>
    <w:rsid w:val="00DE0E9C"/>
    <w:rsid w:val="00DF7B52"/>
    <w:rsid w:val="00E061DC"/>
    <w:rsid w:val="00E07DA7"/>
    <w:rsid w:val="00E125F5"/>
    <w:rsid w:val="00E405CD"/>
    <w:rsid w:val="00E83357"/>
    <w:rsid w:val="00EB4B39"/>
    <w:rsid w:val="00ED3B98"/>
    <w:rsid w:val="00EE7790"/>
    <w:rsid w:val="00EF28A7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6">
    <w:name w:val="Strong"/>
    <w:basedOn w:val="a0"/>
    <w:qFormat/>
    <w:rsid w:val="00FB388E"/>
    <w:rPr>
      <w:b/>
      <w:bCs/>
    </w:rPr>
  </w:style>
  <w:style w:type="paragraph" w:styleId="a7">
    <w:name w:val="No Spacing"/>
    <w:link w:val="a8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9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a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8">
    <w:name w:val="Без интервала Знак"/>
    <w:basedOn w:val="a0"/>
    <w:link w:val="a7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b">
    <w:name w:val="Table Grid"/>
    <w:basedOn w:val="a1"/>
    <w:uiPriority w:val="3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55</TotalTime>
  <Pages>8</Pages>
  <Words>1711</Words>
  <Characters>13903</Characters>
  <Application>Microsoft Office Word</Application>
  <DocSecurity>0</DocSecurity>
  <Lines>115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15583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Приёмная</cp:lastModifiedBy>
  <cp:revision>8</cp:revision>
  <cp:lastPrinted>2022-10-14T05:41:00Z</cp:lastPrinted>
  <dcterms:created xsi:type="dcterms:W3CDTF">2022-09-20T12:56:00Z</dcterms:created>
  <dcterms:modified xsi:type="dcterms:W3CDTF">2022-10-14T05:42:00Z</dcterms:modified>
</cp:coreProperties>
</file>