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DB" w:rsidRPr="00A200DB" w:rsidRDefault="00A200DB" w:rsidP="00A200D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0DB">
        <w:rPr>
          <w:rFonts w:ascii="Times New Roman" w:hAnsi="Times New Roman" w:cs="Times New Roman"/>
          <w:b/>
          <w:sz w:val="28"/>
          <w:szCs w:val="28"/>
        </w:rPr>
        <w:t>Электронные листки нетрудоспособности</w:t>
      </w:r>
    </w:p>
    <w:p w:rsidR="000D1244" w:rsidRPr="000D1244" w:rsidRDefault="000D1244" w:rsidP="000D1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 xml:space="preserve">ФСС РФ официально разъяснил особенности применения электронных листков нетрудоспособности. В документе даны следующие пояснения: 1) Каким образом сотрудник должен поставить в известность работодателя о том, что ему выдали электронный больничный; </w:t>
      </w:r>
    </w:p>
    <w:p w:rsidR="000D1244" w:rsidRPr="000D1244" w:rsidRDefault="000D1244" w:rsidP="000D1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 xml:space="preserve">2) Как и где можно проверить подлинность и основание выдачи больничного листа; </w:t>
      </w:r>
    </w:p>
    <w:p w:rsidR="000D1244" w:rsidRPr="000D1244" w:rsidRDefault="000D1244" w:rsidP="000D1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 xml:space="preserve">3) Может ли безработный получить электронный больничный; </w:t>
      </w:r>
    </w:p>
    <w:p w:rsidR="000D1244" w:rsidRPr="000D1244" w:rsidRDefault="000D1244" w:rsidP="000D1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 xml:space="preserve">4) Должен ли страхователь информировать застрахованного о возможности получения электронного больничного; </w:t>
      </w:r>
    </w:p>
    <w:p w:rsidR="000D1244" w:rsidRPr="000D1244" w:rsidRDefault="000D1244" w:rsidP="000D1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 xml:space="preserve">5) Как и где гражданин может узнать в случае утери номер своего электронного листка либо посмотреть сведения о его оплате; </w:t>
      </w:r>
    </w:p>
    <w:p w:rsidR="000D1244" w:rsidRPr="000D1244" w:rsidRDefault="000D1244" w:rsidP="000D1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 xml:space="preserve">6) Что необходимо делать, если электронный больничный оформлен, а работодатель просит бумажный вариант; </w:t>
      </w:r>
    </w:p>
    <w:p w:rsidR="000D1244" w:rsidRPr="000D1244" w:rsidRDefault="000D1244" w:rsidP="000D1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 xml:space="preserve">7) Требуется ли распечатывать и хранить электронные больничные одновременно с традиционными бланками строгой отчетности; </w:t>
      </w:r>
    </w:p>
    <w:p w:rsidR="000D1244" w:rsidRPr="000D1244" w:rsidRDefault="000D1244" w:rsidP="000D1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>8) Стоит ли беспокоиться пациенту о том, что его персональные данные и информация о диагнозе не попадет в чужие руки.</w:t>
      </w:r>
    </w:p>
    <w:p w:rsidR="00A200DB" w:rsidRDefault="000D1244" w:rsidP="00A200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>Также в официальном разъяснении приводятся аргументы для страхователей по переходу на электронные больничные, объяснено, какие именно медицинские организации имеют право участвовать в формировании электронных листков нетрудоспособности,</w:t>
      </w:r>
    </w:p>
    <w:p w:rsidR="00C12552" w:rsidRPr="000D1244" w:rsidRDefault="000D1244" w:rsidP="00A200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1244">
        <w:rPr>
          <w:rFonts w:ascii="Times New Roman" w:hAnsi="Times New Roman" w:cs="Times New Roman"/>
          <w:sz w:val="28"/>
          <w:szCs w:val="28"/>
        </w:rPr>
        <w:t>ФСС РФ указывает на то, что медицинским организациям предоставляется бесплатное программное обеспечение АРМ "ЛПУ", которое доступно для скачивания на официальном сайте фонда.</w:t>
      </w:r>
    </w:p>
    <w:sectPr w:rsidR="00C12552" w:rsidRPr="000D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D1244"/>
    <w:rsid w:val="000D1244"/>
    <w:rsid w:val="00A200DB"/>
    <w:rsid w:val="00C1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>Администрция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2019-02-28T10:17:00Z</dcterms:created>
  <dcterms:modified xsi:type="dcterms:W3CDTF">2019-02-28T10:18:00Z</dcterms:modified>
</cp:coreProperties>
</file>