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9A" w:rsidRPr="003A0614" w:rsidRDefault="00D71E9A" w:rsidP="003A0614">
      <w:pPr>
        <w:spacing w:after="0" w:line="240" w:lineRule="auto"/>
        <w:rPr>
          <w:rFonts w:ascii="Times New Roman" w:hAnsi="Times New Roman" w:cs="Times New Roman"/>
          <w:sz w:val="28"/>
        </w:rPr>
      </w:pPr>
    </w:p>
    <w:p w:rsidR="00D71E9A" w:rsidRPr="003D299F" w:rsidRDefault="00D71E9A" w:rsidP="00D71E9A">
      <w:pPr>
        <w:spacing w:after="0" w:line="240" w:lineRule="auto"/>
        <w:jc w:val="center"/>
        <w:rPr>
          <w:rFonts w:ascii="Times New Roman" w:hAnsi="Times New Roman" w:cs="Times New Roman"/>
          <w:sz w:val="28"/>
          <w:szCs w:val="28"/>
          <w:lang w:val="en-US"/>
        </w:rPr>
      </w:pPr>
      <w:r w:rsidRPr="003D299F">
        <w:rPr>
          <w:rFonts w:ascii="Times New Roman" w:hAnsi="Times New Roman" w:cs="Times New Roman"/>
          <w:noProof/>
          <w:sz w:val="28"/>
          <w:szCs w:val="28"/>
          <w:lang w:eastAsia="ru-RU"/>
        </w:rPr>
        <w:drawing>
          <wp:inline distT="0" distB="0" distL="0" distR="0">
            <wp:extent cx="895350" cy="12858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95350" cy="1285875"/>
                    </a:xfrm>
                    <a:prstGeom prst="rect">
                      <a:avLst/>
                    </a:prstGeom>
                    <a:noFill/>
                    <a:ln w="9525">
                      <a:noFill/>
                      <a:miter lim="800000"/>
                      <a:headEnd/>
                      <a:tailEnd/>
                    </a:ln>
                  </pic:spPr>
                </pic:pic>
              </a:graphicData>
            </a:graphic>
          </wp:inline>
        </w:drawing>
      </w:r>
    </w:p>
    <w:tbl>
      <w:tblPr>
        <w:tblpPr w:leftFromText="180" w:rightFromText="180" w:vertAnchor="text" w:tblpY="1"/>
        <w:tblOverlap w:val="never"/>
        <w:tblW w:w="264" w:type="dxa"/>
        <w:tblLook w:val="0000"/>
      </w:tblPr>
      <w:tblGrid>
        <w:gridCol w:w="264"/>
      </w:tblGrid>
      <w:tr w:rsidR="00D71E9A" w:rsidRPr="003D299F" w:rsidTr="00A9532A">
        <w:trPr>
          <w:cantSplit/>
          <w:trHeight w:val="509"/>
        </w:trPr>
        <w:tc>
          <w:tcPr>
            <w:tcW w:w="264" w:type="dxa"/>
            <w:vMerge w:val="restart"/>
            <w:vAlign w:val="bottom"/>
          </w:tcPr>
          <w:p w:rsidR="00D71E9A" w:rsidRPr="003D299F" w:rsidRDefault="00D71E9A" w:rsidP="00A9532A">
            <w:pPr>
              <w:spacing w:after="0" w:line="240" w:lineRule="auto"/>
              <w:rPr>
                <w:rFonts w:ascii="Times New Roman" w:hAnsi="Times New Roman" w:cs="Times New Roman"/>
                <w:lang w:val="en-US"/>
              </w:rPr>
            </w:pPr>
          </w:p>
          <w:p w:rsidR="00D71E9A" w:rsidRPr="003D299F" w:rsidRDefault="00D71E9A" w:rsidP="00A9532A">
            <w:pPr>
              <w:spacing w:after="0" w:line="240" w:lineRule="auto"/>
              <w:rPr>
                <w:rFonts w:ascii="Times New Roman" w:hAnsi="Times New Roman" w:cs="Times New Roman"/>
                <w:lang w:val="en-US"/>
              </w:rPr>
            </w:pPr>
          </w:p>
        </w:tc>
      </w:tr>
      <w:tr w:rsidR="00D71E9A" w:rsidRPr="003D299F" w:rsidTr="00A9532A">
        <w:trPr>
          <w:cantSplit/>
          <w:trHeight w:val="509"/>
        </w:trPr>
        <w:tc>
          <w:tcPr>
            <w:tcW w:w="0" w:type="auto"/>
            <w:vMerge/>
            <w:vAlign w:val="center"/>
          </w:tcPr>
          <w:p w:rsidR="00D71E9A" w:rsidRPr="003D299F" w:rsidRDefault="00D71E9A" w:rsidP="00A9532A">
            <w:pPr>
              <w:spacing w:after="0" w:line="240" w:lineRule="auto"/>
              <w:rPr>
                <w:rFonts w:ascii="Times New Roman" w:hAnsi="Times New Roman" w:cs="Times New Roman"/>
              </w:rPr>
            </w:pPr>
          </w:p>
        </w:tc>
      </w:tr>
      <w:tr w:rsidR="00D71E9A" w:rsidRPr="003D299F" w:rsidTr="00A9532A">
        <w:trPr>
          <w:cantSplit/>
          <w:trHeight w:val="119"/>
        </w:trPr>
        <w:tc>
          <w:tcPr>
            <w:tcW w:w="264" w:type="dxa"/>
          </w:tcPr>
          <w:p w:rsidR="00D71E9A" w:rsidRPr="003D299F" w:rsidRDefault="00D71E9A" w:rsidP="00A9532A">
            <w:pPr>
              <w:spacing w:after="0" w:line="240" w:lineRule="auto"/>
              <w:jc w:val="center"/>
              <w:rPr>
                <w:rFonts w:ascii="Times New Roman" w:hAnsi="Times New Roman" w:cs="Times New Roman"/>
              </w:rPr>
            </w:pPr>
          </w:p>
        </w:tc>
      </w:tr>
    </w:tbl>
    <w:p w:rsidR="003A0614" w:rsidRPr="00C35C47" w:rsidRDefault="003A0614" w:rsidP="003A061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КРАСНОАРМЕЙСКОЕ РАЙОННОЕ СОБРАНИЕ</w:t>
      </w:r>
    </w:p>
    <w:p w:rsidR="00D71E9A" w:rsidRDefault="00C35C47" w:rsidP="00C35C4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САРАТОВСК</w:t>
      </w:r>
      <w:r w:rsidR="003A0614">
        <w:rPr>
          <w:rFonts w:ascii="Times New Roman" w:hAnsi="Times New Roman" w:cs="Times New Roman"/>
          <w:b/>
          <w:sz w:val="32"/>
          <w:szCs w:val="32"/>
        </w:rPr>
        <w:t>ОЙ</w:t>
      </w:r>
      <w:r>
        <w:rPr>
          <w:rFonts w:ascii="Times New Roman" w:hAnsi="Times New Roman" w:cs="Times New Roman"/>
          <w:b/>
          <w:sz w:val="32"/>
          <w:szCs w:val="32"/>
        </w:rPr>
        <w:t xml:space="preserve"> ОБЛАСТ</w:t>
      </w:r>
      <w:r w:rsidR="003A0614">
        <w:rPr>
          <w:rFonts w:ascii="Times New Roman" w:hAnsi="Times New Roman" w:cs="Times New Roman"/>
          <w:b/>
          <w:sz w:val="32"/>
          <w:szCs w:val="32"/>
        </w:rPr>
        <w:t>И</w:t>
      </w:r>
    </w:p>
    <w:p w:rsidR="003A0614" w:rsidRDefault="003A0614" w:rsidP="00C35C47">
      <w:pPr>
        <w:spacing w:after="0" w:line="240" w:lineRule="auto"/>
        <w:jc w:val="center"/>
        <w:rPr>
          <w:rFonts w:ascii="Times New Roman" w:hAnsi="Times New Roman" w:cs="Times New Roman"/>
          <w:b/>
          <w:sz w:val="32"/>
          <w:szCs w:val="32"/>
        </w:rPr>
      </w:pPr>
    </w:p>
    <w:p w:rsidR="003A0614" w:rsidRDefault="003A0614" w:rsidP="00C35C47">
      <w:pPr>
        <w:spacing w:after="0" w:line="240" w:lineRule="auto"/>
        <w:jc w:val="center"/>
        <w:rPr>
          <w:rFonts w:ascii="Times New Roman" w:hAnsi="Times New Roman" w:cs="Times New Roman"/>
          <w:b/>
          <w:sz w:val="32"/>
          <w:szCs w:val="32"/>
        </w:rPr>
      </w:pPr>
    </w:p>
    <w:p w:rsidR="00D71E9A" w:rsidRDefault="00D71E9A" w:rsidP="00D71E9A">
      <w:pPr>
        <w:pStyle w:val="2"/>
        <w:spacing w:after="0" w:afterAutospacing="0"/>
        <w:jc w:val="center"/>
        <w:rPr>
          <w:sz w:val="28"/>
          <w:szCs w:val="28"/>
        </w:rPr>
      </w:pPr>
      <w:proofErr w:type="gramStart"/>
      <w:r w:rsidRPr="003D299F">
        <w:rPr>
          <w:sz w:val="28"/>
          <w:szCs w:val="28"/>
        </w:rPr>
        <w:t>Р</w:t>
      </w:r>
      <w:proofErr w:type="gramEnd"/>
      <w:r w:rsidRPr="003D299F">
        <w:rPr>
          <w:sz w:val="28"/>
          <w:szCs w:val="28"/>
        </w:rPr>
        <w:t xml:space="preserve"> Е Ш Е Н И Е </w:t>
      </w:r>
    </w:p>
    <w:p w:rsidR="003A0614" w:rsidRPr="003D299F" w:rsidRDefault="003A0614" w:rsidP="00D71E9A">
      <w:pPr>
        <w:pStyle w:val="2"/>
        <w:spacing w:after="0" w:afterAutospacing="0"/>
        <w:jc w:val="center"/>
        <w:rPr>
          <w:sz w:val="28"/>
          <w:szCs w:val="28"/>
        </w:rPr>
      </w:pPr>
    </w:p>
    <w:tbl>
      <w:tblPr>
        <w:tblpPr w:leftFromText="180" w:rightFromText="180" w:vertAnchor="text" w:horzAnchor="margin" w:tblpY="81"/>
        <w:tblW w:w="0" w:type="auto"/>
        <w:tblLayout w:type="fixed"/>
        <w:tblLook w:val="0000"/>
      </w:tblPr>
      <w:tblGrid>
        <w:gridCol w:w="511"/>
        <w:gridCol w:w="1847"/>
        <w:gridCol w:w="540"/>
        <w:gridCol w:w="1558"/>
      </w:tblGrid>
      <w:tr w:rsidR="00D71E9A" w:rsidRPr="003D299F" w:rsidTr="00A9532A">
        <w:trPr>
          <w:cantSplit/>
          <w:trHeight w:val="322"/>
        </w:trPr>
        <w:tc>
          <w:tcPr>
            <w:tcW w:w="511" w:type="dxa"/>
            <w:vMerge w:val="restart"/>
            <w:vAlign w:val="bottom"/>
          </w:tcPr>
          <w:p w:rsidR="00D71E9A" w:rsidRPr="003D299F" w:rsidRDefault="00D71E9A" w:rsidP="00A9532A">
            <w:pPr>
              <w:spacing w:after="0" w:line="240" w:lineRule="auto"/>
              <w:rPr>
                <w:rFonts w:ascii="Times New Roman" w:hAnsi="Times New Roman" w:cs="Times New Roman"/>
                <w:sz w:val="28"/>
                <w:szCs w:val="28"/>
              </w:rPr>
            </w:pPr>
          </w:p>
          <w:p w:rsidR="00D71E9A" w:rsidRPr="003D299F" w:rsidRDefault="00D71E9A" w:rsidP="00A9532A">
            <w:pPr>
              <w:spacing w:after="0" w:line="240" w:lineRule="auto"/>
              <w:jc w:val="center"/>
              <w:rPr>
                <w:rFonts w:ascii="Times New Roman" w:hAnsi="Times New Roman" w:cs="Times New Roman"/>
                <w:sz w:val="28"/>
                <w:szCs w:val="28"/>
              </w:rPr>
            </w:pPr>
            <w:r w:rsidRPr="003D299F">
              <w:rPr>
                <w:rFonts w:ascii="Times New Roman" w:hAnsi="Times New Roman" w:cs="Times New Roman"/>
                <w:sz w:val="28"/>
                <w:szCs w:val="28"/>
              </w:rPr>
              <w:t>от</w:t>
            </w:r>
          </w:p>
        </w:tc>
        <w:tc>
          <w:tcPr>
            <w:tcW w:w="1847" w:type="dxa"/>
            <w:vMerge w:val="restart"/>
            <w:tcBorders>
              <w:bottom w:val="dotted" w:sz="4" w:space="0" w:color="auto"/>
            </w:tcBorders>
            <w:vAlign w:val="bottom"/>
          </w:tcPr>
          <w:p w:rsidR="00D71E9A" w:rsidRPr="003A0614" w:rsidRDefault="003A0614" w:rsidP="00A953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27.01.2020 </w:t>
            </w:r>
          </w:p>
        </w:tc>
        <w:tc>
          <w:tcPr>
            <w:tcW w:w="540" w:type="dxa"/>
            <w:vMerge w:val="restart"/>
            <w:vAlign w:val="bottom"/>
          </w:tcPr>
          <w:p w:rsidR="00D71E9A" w:rsidRPr="003D299F" w:rsidRDefault="00D71E9A" w:rsidP="00A9532A">
            <w:pPr>
              <w:spacing w:after="0" w:line="240" w:lineRule="auto"/>
              <w:jc w:val="center"/>
              <w:rPr>
                <w:rFonts w:ascii="Times New Roman" w:hAnsi="Times New Roman" w:cs="Times New Roman"/>
                <w:sz w:val="28"/>
                <w:szCs w:val="28"/>
              </w:rPr>
            </w:pPr>
            <w:r w:rsidRPr="003D299F">
              <w:rPr>
                <w:rFonts w:ascii="Times New Roman" w:hAnsi="Times New Roman" w:cs="Times New Roman"/>
                <w:sz w:val="28"/>
                <w:szCs w:val="28"/>
              </w:rPr>
              <w:t>№</w:t>
            </w:r>
          </w:p>
        </w:tc>
        <w:tc>
          <w:tcPr>
            <w:tcW w:w="1558" w:type="dxa"/>
            <w:vMerge w:val="restart"/>
            <w:tcBorders>
              <w:bottom w:val="dotted" w:sz="4" w:space="0" w:color="auto"/>
            </w:tcBorders>
            <w:vAlign w:val="bottom"/>
          </w:tcPr>
          <w:p w:rsidR="00D71E9A" w:rsidRPr="003A0614" w:rsidRDefault="003A0614" w:rsidP="00A953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r>
      <w:tr w:rsidR="00D71E9A" w:rsidRPr="003D299F" w:rsidTr="00A9532A">
        <w:trPr>
          <w:cantSplit/>
          <w:trHeight w:val="322"/>
        </w:trPr>
        <w:tc>
          <w:tcPr>
            <w:tcW w:w="511" w:type="dxa"/>
            <w:vMerge/>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1847" w:type="dxa"/>
            <w:vMerge/>
            <w:tcBorders>
              <w:bottom w:val="dotted" w:sz="4" w:space="0" w:color="auto"/>
            </w:tcBorders>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540" w:type="dxa"/>
            <w:vMerge/>
            <w:vAlign w:val="bottom"/>
          </w:tcPr>
          <w:p w:rsidR="00D71E9A" w:rsidRPr="003D299F" w:rsidRDefault="00D71E9A" w:rsidP="00A9532A">
            <w:pPr>
              <w:spacing w:after="0" w:line="240" w:lineRule="auto"/>
              <w:jc w:val="center"/>
              <w:rPr>
                <w:rFonts w:ascii="Times New Roman" w:hAnsi="Times New Roman" w:cs="Times New Roman"/>
                <w:sz w:val="28"/>
                <w:szCs w:val="28"/>
              </w:rPr>
            </w:pPr>
          </w:p>
        </w:tc>
        <w:tc>
          <w:tcPr>
            <w:tcW w:w="1558" w:type="dxa"/>
            <w:vMerge/>
            <w:tcBorders>
              <w:bottom w:val="dotted" w:sz="4" w:space="0" w:color="auto"/>
            </w:tcBorders>
            <w:vAlign w:val="bottom"/>
          </w:tcPr>
          <w:p w:rsidR="00D71E9A" w:rsidRPr="003D299F" w:rsidRDefault="00D71E9A" w:rsidP="00A9532A">
            <w:pPr>
              <w:spacing w:after="0" w:line="240" w:lineRule="auto"/>
              <w:jc w:val="center"/>
              <w:rPr>
                <w:rFonts w:ascii="Times New Roman" w:hAnsi="Times New Roman" w:cs="Times New Roman"/>
                <w:sz w:val="28"/>
                <w:szCs w:val="28"/>
              </w:rPr>
            </w:pPr>
          </w:p>
        </w:tc>
      </w:tr>
    </w:tbl>
    <w:p w:rsidR="00D71E9A" w:rsidRPr="003D299F" w:rsidRDefault="00D71E9A" w:rsidP="00D71E9A">
      <w:pPr>
        <w:spacing w:after="0" w:line="240" w:lineRule="auto"/>
        <w:rPr>
          <w:rFonts w:ascii="Times New Roman" w:hAnsi="Times New Roman" w:cs="Times New Roman"/>
          <w:bCs/>
          <w:kern w:val="32"/>
          <w:sz w:val="28"/>
          <w:szCs w:val="28"/>
        </w:rPr>
      </w:pPr>
    </w:p>
    <w:p w:rsidR="00D71E9A" w:rsidRPr="003D299F" w:rsidRDefault="00D71E9A" w:rsidP="00D71E9A">
      <w:pPr>
        <w:spacing w:after="0" w:line="240" w:lineRule="auto"/>
        <w:rPr>
          <w:rFonts w:ascii="Times New Roman" w:hAnsi="Times New Roman" w:cs="Times New Roman"/>
          <w:b/>
          <w:sz w:val="28"/>
          <w:szCs w:val="28"/>
        </w:rPr>
      </w:pPr>
    </w:p>
    <w:p w:rsidR="00DE5F1E" w:rsidRPr="00DE5F1E" w:rsidRDefault="00DE5F1E" w:rsidP="00D71E9A">
      <w:pPr>
        <w:spacing w:after="0" w:line="240" w:lineRule="auto"/>
        <w:rPr>
          <w:rFonts w:ascii="Times New Roman" w:hAnsi="Times New Roman" w:cs="Times New Roman"/>
          <w:b/>
          <w:bCs/>
        </w:rPr>
      </w:pPr>
      <w:r w:rsidRPr="00DE5F1E">
        <w:rPr>
          <w:rFonts w:ascii="Times New Roman" w:hAnsi="Times New Roman" w:cs="Times New Roman"/>
          <w:sz w:val="28"/>
        </w:rPr>
        <w:t xml:space="preserve">         </w:t>
      </w:r>
    </w:p>
    <w:p w:rsidR="00E147C5" w:rsidRDefault="00E147C5" w:rsidP="00E147C5">
      <w:pPr>
        <w:spacing w:after="0" w:line="240" w:lineRule="auto"/>
        <w:jc w:val="both"/>
        <w:rPr>
          <w:rFonts w:ascii="Times New Roman" w:eastAsia="Arial Unicode MS" w:hAnsi="Times New Roman" w:cs="Times New Roman"/>
          <w:sz w:val="28"/>
          <w:szCs w:val="28"/>
        </w:rPr>
      </w:pPr>
    </w:p>
    <w:p w:rsidR="003703C9" w:rsidRPr="00C35C47" w:rsidRDefault="00DE5F1E" w:rsidP="00E147C5">
      <w:pPr>
        <w:spacing w:after="0" w:line="240" w:lineRule="auto"/>
        <w:jc w:val="both"/>
        <w:rPr>
          <w:rFonts w:ascii="Times New Roman" w:hAnsi="Times New Roman" w:cs="Times New Roman"/>
          <w:b/>
          <w:iCs/>
          <w:sz w:val="28"/>
          <w:szCs w:val="28"/>
        </w:rPr>
      </w:pPr>
      <w:r w:rsidRPr="00C35C47">
        <w:rPr>
          <w:rFonts w:ascii="Times New Roman" w:eastAsia="Arial Unicode MS" w:hAnsi="Times New Roman" w:cs="Times New Roman"/>
          <w:b/>
          <w:sz w:val="28"/>
          <w:szCs w:val="28"/>
        </w:rPr>
        <w:t xml:space="preserve">О  </w:t>
      </w:r>
      <w:r w:rsidR="00C35C47" w:rsidRPr="00C35C47">
        <w:rPr>
          <w:rFonts w:ascii="Times New Roman" w:hAnsi="Times New Roman" w:cs="Times New Roman"/>
          <w:b/>
          <w:iCs/>
          <w:sz w:val="28"/>
          <w:szCs w:val="28"/>
        </w:rPr>
        <w:t xml:space="preserve">внесении изменений в Генеральный план </w:t>
      </w:r>
      <w:proofErr w:type="spellStart"/>
      <w:r w:rsidR="00C35C47" w:rsidRPr="00C35C47">
        <w:rPr>
          <w:rFonts w:ascii="Times New Roman" w:hAnsi="Times New Roman" w:cs="Times New Roman"/>
          <w:b/>
          <w:iCs/>
          <w:sz w:val="28"/>
          <w:szCs w:val="28"/>
        </w:rPr>
        <w:t>Высоковского</w:t>
      </w:r>
      <w:proofErr w:type="spellEnd"/>
      <w:r w:rsidR="00C35C47" w:rsidRPr="00C35C47">
        <w:rPr>
          <w:rFonts w:ascii="Times New Roman" w:hAnsi="Times New Roman" w:cs="Times New Roman"/>
          <w:b/>
          <w:iCs/>
          <w:sz w:val="28"/>
          <w:szCs w:val="28"/>
        </w:rPr>
        <w:t xml:space="preserve"> муниципального образования Красноармейского муниципального района</w:t>
      </w:r>
    </w:p>
    <w:p w:rsidR="00DE5F1E" w:rsidRPr="00DE5F1E" w:rsidRDefault="00DE5F1E" w:rsidP="00DE5F1E">
      <w:pPr>
        <w:spacing w:after="0" w:line="240" w:lineRule="auto"/>
        <w:jc w:val="both"/>
        <w:rPr>
          <w:rFonts w:ascii="Times New Roman" w:hAnsi="Times New Roman" w:cs="Times New Roman"/>
          <w:iCs/>
          <w:sz w:val="28"/>
          <w:szCs w:val="28"/>
        </w:rPr>
      </w:pPr>
    </w:p>
    <w:p w:rsidR="003A0614" w:rsidRDefault="00C35C47" w:rsidP="00E147C5">
      <w:pPr>
        <w:spacing w:after="0" w:line="240" w:lineRule="auto"/>
        <w:ind w:firstLine="426"/>
        <w:jc w:val="both"/>
        <w:rPr>
          <w:rFonts w:ascii="Times New Roman" w:eastAsia="Arial Unicode MS" w:hAnsi="Times New Roman" w:cs="Times New Roman"/>
          <w:sz w:val="28"/>
          <w:szCs w:val="28"/>
        </w:rPr>
      </w:pPr>
      <w:r>
        <w:rPr>
          <w:rFonts w:ascii="Times New Roman" w:hAnsi="Times New Roman" w:cs="Times New Roman"/>
          <w:iCs/>
          <w:sz w:val="28"/>
          <w:szCs w:val="28"/>
        </w:rPr>
        <w:t>На основании статьи 24 Градостроительного кодекса</w:t>
      </w:r>
      <w:r w:rsidR="00DE5F1E">
        <w:rPr>
          <w:rFonts w:ascii="Times New Roman" w:hAnsi="Times New Roman" w:cs="Times New Roman"/>
          <w:iCs/>
          <w:sz w:val="28"/>
          <w:szCs w:val="28"/>
        </w:rPr>
        <w:t xml:space="preserve"> РФ, </w:t>
      </w:r>
      <w:r w:rsidR="009F6174" w:rsidRPr="00DE5F1E">
        <w:rPr>
          <w:rFonts w:ascii="Times New Roman" w:hAnsi="Times New Roman" w:cs="Times New Roman"/>
          <w:bCs/>
          <w:color w:val="000000"/>
          <w:sz w:val="28"/>
          <w:szCs w:val="28"/>
        </w:rPr>
        <w:t>Федеральным</w:t>
      </w:r>
      <w:r w:rsidR="00D84CF7">
        <w:rPr>
          <w:rFonts w:ascii="Times New Roman" w:hAnsi="Times New Roman" w:cs="Times New Roman"/>
          <w:bCs/>
          <w:color w:val="000000"/>
          <w:sz w:val="28"/>
          <w:szCs w:val="28"/>
        </w:rPr>
        <w:t>и</w:t>
      </w:r>
      <w:r w:rsidR="009F6174" w:rsidRPr="00DE5F1E">
        <w:rPr>
          <w:rFonts w:ascii="Times New Roman" w:hAnsi="Times New Roman" w:cs="Times New Roman"/>
          <w:bCs/>
          <w:color w:val="000000"/>
          <w:sz w:val="28"/>
          <w:szCs w:val="28"/>
        </w:rPr>
        <w:t xml:space="preserve"> закон</w:t>
      </w:r>
      <w:r w:rsidR="00D84CF7">
        <w:rPr>
          <w:rFonts w:ascii="Times New Roman" w:hAnsi="Times New Roman" w:cs="Times New Roman"/>
          <w:bCs/>
          <w:color w:val="000000"/>
          <w:sz w:val="28"/>
          <w:szCs w:val="28"/>
        </w:rPr>
        <w:t>а</w:t>
      </w:r>
      <w:r w:rsidR="009F6174" w:rsidRPr="00DE5F1E">
        <w:rPr>
          <w:rFonts w:ascii="Times New Roman" w:hAnsi="Times New Roman" w:cs="Times New Roman"/>
          <w:bCs/>
          <w:color w:val="000000"/>
          <w:sz w:val="28"/>
          <w:szCs w:val="28"/>
        </w:rPr>
        <w:t>м</w:t>
      </w:r>
      <w:r w:rsidR="00D84CF7">
        <w:rPr>
          <w:rFonts w:ascii="Times New Roman" w:hAnsi="Times New Roman" w:cs="Times New Roman"/>
          <w:bCs/>
          <w:color w:val="000000"/>
          <w:sz w:val="28"/>
          <w:szCs w:val="28"/>
        </w:rPr>
        <w:t>и</w:t>
      </w:r>
      <w:r w:rsidR="009F6174" w:rsidRPr="00DE5F1E">
        <w:rPr>
          <w:rFonts w:ascii="Times New Roman" w:hAnsi="Times New Roman" w:cs="Times New Roman"/>
          <w:bCs/>
          <w:color w:val="000000"/>
          <w:sz w:val="28"/>
          <w:szCs w:val="28"/>
        </w:rPr>
        <w:t xml:space="preserve"> от 06.10.2003 года № 131-ФЗ «Об общих принципах организации местного самоуправления в Российской Федерации», </w:t>
      </w:r>
      <w:r w:rsidR="003703C9" w:rsidRPr="0049351C">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Красноармейское районное Собрание </w:t>
      </w:r>
    </w:p>
    <w:p w:rsidR="003703C9" w:rsidRPr="0049351C" w:rsidRDefault="00D71E9A" w:rsidP="00E147C5">
      <w:pPr>
        <w:spacing w:after="0" w:line="240" w:lineRule="auto"/>
        <w:ind w:firstLine="426"/>
        <w:jc w:val="both"/>
        <w:rPr>
          <w:rFonts w:ascii="Times New Roman" w:eastAsia="Arial Unicode MS" w:hAnsi="Times New Roman" w:cs="Times New Roman"/>
          <w:sz w:val="28"/>
          <w:szCs w:val="28"/>
        </w:rPr>
      </w:pPr>
      <w:r w:rsidRPr="00D71E9A">
        <w:rPr>
          <w:rFonts w:ascii="Times New Roman" w:eastAsia="Arial Unicode MS" w:hAnsi="Times New Roman" w:cs="Times New Roman"/>
          <w:b/>
          <w:sz w:val="28"/>
          <w:szCs w:val="28"/>
        </w:rPr>
        <w:t>РЕШИЛ</w:t>
      </w:r>
      <w:r w:rsidR="00C35C47">
        <w:rPr>
          <w:rFonts w:ascii="Times New Roman" w:eastAsia="Arial Unicode MS" w:hAnsi="Times New Roman" w:cs="Times New Roman"/>
          <w:b/>
          <w:sz w:val="28"/>
          <w:szCs w:val="28"/>
        </w:rPr>
        <w:t>О</w:t>
      </w:r>
      <w:r w:rsidR="003703C9" w:rsidRPr="00D71E9A">
        <w:rPr>
          <w:rFonts w:ascii="Times New Roman" w:eastAsia="Arial Unicode MS" w:hAnsi="Times New Roman" w:cs="Times New Roman"/>
          <w:b/>
          <w:sz w:val="28"/>
          <w:szCs w:val="28"/>
        </w:rPr>
        <w:t>:</w:t>
      </w:r>
    </w:p>
    <w:p w:rsidR="00C35C47" w:rsidRPr="00C35C47" w:rsidRDefault="00C35C47" w:rsidP="00320DEF">
      <w:pPr>
        <w:pStyle w:val="a6"/>
        <w:numPr>
          <w:ilvl w:val="0"/>
          <w:numId w:val="2"/>
        </w:numPr>
        <w:spacing w:after="0" w:line="240" w:lineRule="auto"/>
        <w:ind w:left="0"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Внести изменения в Генеральный план </w:t>
      </w:r>
      <w:proofErr w:type="spellStart"/>
      <w:r>
        <w:rPr>
          <w:rFonts w:ascii="Times New Roman" w:hAnsi="Times New Roman" w:cs="Times New Roman"/>
          <w:color w:val="000000"/>
          <w:sz w:val="28"/>
          <w:szCs w:val="28"/>
        </w:rPr>
        <w:t>Высоковского</w:t>
      </w:r>
      <w:proofErr w:type="spellEnd"/>
      <w:r>
        <w:rPr>
          <w:rFonts w:ascii="Times New Roman" w:hAnsi="Times New Roman" w:cs="Times New Roman"/>
          <w:color w:val="000000"/>
          <w:sz w:val="28"/>
          <w:szCs w:val="28"/>
        </w:rPr>
        <w:t xml:space="preserve"> муниципального образования, утвержденный решением красноармейского районного Собрания Саратовской области от 04.12.2015г. № 100, согласно приложению.</w:t>
      </w:r>
    </w:p>
    <w:p w:rsidR="00A80073" w:rsidRPr="00C35C47" w:rsidRDefault="00C35C47" w:rsidP="00320DEF">
      <w:pPr>
        <w:pStyle w:val="a6"/>
        <w:numPr>
          <w:ilvl w:val="0"/>
          <w:numId w:val="2"/>
        </w:numPr>
        <w:spacing w:after="0" w:line="240" w:lineRule="auto"/>
        <w:ind w:left="0"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Опубликовать настоящее решение,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«Интернет».</w:t>
      </w:r>
      <w:r w:rsidR="00A80073" w:rsidRPr="00C35C47">
        <w:rPr>
          <w:rFonts w:ascii="Times New Roman" w:hAnsi="Times New Roman" w:cs="Times New Roman"/>
          <w:sz w:val="28"/>
          <w:szCs w:val="28"/>
        </w:rPr>
        <w:t xml:space="preserve"> </w:t>
      </w:r>
    </w:p>
    <w:p w:rsidR="00D71E9A" w:rsidRPr="0065266D" w:rsidRDefault="005117A2" w:rsidP="005117A2">
      <w:pPr>
        <w:spacing w:after="0" w:line="240" w:lineRule="auto"/>
        <w:ind w:firstLine="426"/>
        <w:jc w:val="both"/>
        <w:rPr>
          <w:rFonts w:ascii="Times New Roman" w:hAnsi="Times New Roman" w:cs="Times New Roman"/>
          <w:sz w:val="28"/>
          <w:szCs w:val="28"/>
        </w:rPr>
      </w:pPr>
      <w:r>
        <w:rPr>
          <w:rFonts w:ascii="Times New Roman" w:eastAsia="Arial Unicode MS" w:hAnsi="Times New Roman" w:cs="Times New Roman"/>
          <w:sz w:val="28"/>
          <w:szCs w:val="28"/>
        </w:rPr>
        <w:t xml:space="preserve">3. Настоящее решение вступает в силу с момента его официального опубликования (обнародования). </w:t>
      </w:r>
    </w:p>
    <w:p w:rsidR="00D71E9A" w:rsidRDefault="00D71E9A" w:rsidP="00D71E9A">
      <w:pPr>
        <w:pStyle w:val="a6"/>
        <w:tabs>
          <w:tab w:val="left" w:pos="540"/>
        </w:tabs>
        <w:spacing w:after="0" w:line="240" w:lineRule="auto"/>
        <w:ind w:left="360"/>
        <w:rPr>
          <w:rFonts w:ascii="Times New Roman" w:hAnsi="Times New Roman" w:cs="Times New Roman"/>
          <w:sz w:val="28"/>
          <w:szCs w:val="28"/>
        </w:rPr>
      </w:pPr>
    </w:p>
    <w:p w:rsidR="003A0614" w:rsidRPr="00D71E9A" w:rsidRDefault="003A0614" w:rsidP="00D71E9A">
      <w:pPr>
        <w:pStyle w:val="a6"/>
        <w:tabs>
          <w:tab w:val="left" w:pos="540"/>
        </w:tabs>
        <w:spacing w:after="0" w:line="240" w:lineRule="auto"/>
        <w:ind w:left="360"/>
        <w:rPr>
          <w:rFonts w:ascii="Times New Roman" w:hAnsi="Times New Roman" w:cs="Times New Roman"/>
          <w:sz w:val="28"/>
          <w:szCs w:val="28"/>
        </w:rPr>
      </w:pPr>
    </w:p>
    <w:p w:rsidR="003A0614" w:rsidRPr="003A0614" w:rsidRDefault="003A0614" w:rsidP="003A0614">
      <w:pPr>
        <w:spacing w:after="0" w:line="240" w:lineRule="auto"/>
        <w:rPr>
          <w:rFonts w:ascii="Times New Roman" w:hAnsi="Times New Roman" w:cs="Times New Roman"/>
          <w:sz w:val="28"/>
          <w:szCs w:val="28"/>
        </w:rPr>
      </w:pPr>
      <w:r w:rsidRPr="003A0614">
        <w:rPr>
          <w:rFonts w:ascii="Times New Roman" w:hAnsi="Times New Roman" w:cs="Times New Roman"/>
          <w:sz w:val="28"/>
          <w:szCs w:val="28"/>
        </w:rPr>
        <w:t xml:space="preserve">Председатель </w:t>
      </w:r>
      <w:proofErr w:type="gramStart"/>
      <w:r w:rsidRPr="003A0614">
        <w:rPr>
          <w:rFonts w:ascii="Times New Roman" w:hAnsi="Times New Roman" w:cs="Times New Roman"/>
          <w:sz w:val="28"/>
          <w:szCs w:val="28"/>
        </w:rPr>
        <w:t>Красноармейского</w:t>
      </w:r>
      <w:proofErr w:type="gramEnd"/>
    </w:p>
    <w:p w:rsidR="003A0614" w:rsidRPr="003A0614" w:rsidRDefault="003A0614" w:rsidP="003A0614">
      <w:pPr>
        <w:spacing w:after="0" w:line="240" w:lineRule="auto"/>
        <w:rPr>
          <w:rFonts w:ascii="Times New Roman" w:hAnsi="Times New Roman" w:cs="Times New Roman"/>
          <w:sz w:val="28"/>
          <w:szCs w:val="28"/>
        </w:rPr>
      </w:pPr>
      <w:r w:rsidRPr="003A0614">
        <w:rPr>
          <w:rFonts w:ascii="Times New Roman" w:hAnsi="Times New Roman" w:cs="Times New Roman"/>
          <w:sz w:val="28"/>
          <w:szCs w:val="28"/>
        </w:rPr>
        <w:t xml:space="preserve">районного Собрания                                                                     </w:t>
      </w:r>
      <w:r>
        <w:rPr>
          <w:rFonts w:ascii="Times New Roman" w:hAnsi="Times New Roman" w:cs="Times New Roman"/>
          <w:sz w:val="28"/>
          <w:szCs w:val="28"/>
        </w:rPr>
        <w:t xml:space="preserve">      </w:t>
      </w:r>
      <w:r w:rsidRPr="003A0614">
        <w:rPr>
          <w:rFonts w:ascii="Times New Roman" w:hAnsi="Times New Roman" w:cs="Times New Roman"/>
          <w:sz w:val="28"/>
          <w:szCs w:val="28"/>
        </w:rPr>
        <w:t>Л.В. Герасимова</w:t>
      </w:r>
    </w:p>
    <w:p w:rsidR="00D71E9A" w:rsidRDefault="00D71E9A" w:rsidP="00D71E9A">
      <w:pPr>
        <w:pStyle w:val="a6"/>
        <w:tabs>
          <w:tab w:val="left" w:pos="540"/>
        </w:tabs>
        <w:spacing w:after="0" w:line="240" w:lineRule="auto"/>
        <w:ind w:left="360"/>
        <w:rPr>
          <w:rFonts w:ascii="Times New Roman" w:hAnsi="Times New Roman" w:cs="Times New Roman"/>
          <w:sz w:val="28"/>
          <w:szCs w:val="28"/>
        </w:rPr>
      </w:pPr>
    </w:p>
    <w:p w:rsidR="003A0614" w:rsidRDefault="003A0614" w:rsidP="00D71E9A">
      <w:pPr>
        <w:pStyle w:val="a6"/>
        <w:tabs>
          <w:tab w:val="left" w:pos="540"/>
        </w:tabs>
        <w:spacing w:after="0" w:line="240" w:lineRule="auto"/>
        <w:ind w:left="360"/>
        <w:rPr>
          <w:rFonts w:ascii="Times New Roman" w:hAnsi="Times New Roman" w:cs="Times New Roman"/>
          <w:sz w:val="28"/>
          <w:szCs w:val="28"/>
        </w:rPr>
      </w:pPr>
    </w:p>
    <w:p w:rsidR="005117A2" w:rsidRPr="003A0614" w:rsidRDefault="00D71E9A" w:rsidP="003A0614">
      <w:pPr>
        <w:tabs>
          <w:tab w:val="left" w:pos="540"/>
        </w:tabs>
        <w:spacing w:after="0" w:line="240" w:lineRule="auto"/>
        <w:rPr>
          <w:rFonts w:ascii="Times New Roman" w:hAnsi="Times New Roman" w:cs="Times New Roman"/>
          <w:sz w:val="28"/>
          <w:szCs w:val="28"/>
        </w:rPr>
      </w:pPr>
      <w:r w:rsidRPr="003A0614">
        <w:rPr>
          <w:rFonts w:ascii="Times New Roman" w:hAnsi="Times New Roman" w:cs="Times New Roman"/>
          <w:sz w:val="28"/>
          <w:szCs w:val="28"/>
        </w:rPr>
        <w:t xml:space="preserve">Глава </w:t>
      </w:r>
      <w:proofErr w:type="gramStart"/>
      <w:r w:rsidR="005117A2" w:rsidRPr="003A0614">
        <w:rPr>
          <w:rFonts w:ascii="Times New Roman" w:hAnsi="Times New Roman" w:cs="Times New Roman"/>
          <w:sz w:val="28"/>
          <w:szCs w:val="28"/>
        </w:rPr>
        <w:t>Красноармейского</w:t>
      </w:r>
      <w:proofErr w:type="gramEnd"/>
    </w:p>
    <w:p w:rsidR="00D71E9A" w:rsidRPr="003A0614" w:rsidRDefault="005117A2" w:rsidP="003A0614">
      <w:pPr>
        <w:tabs>
          <w:tab w:val="left" w:pos="540"/>
        </w:tabs>
        <w:spacing w:after="0" w:line="240" w:lineRule="auto"/>
        <w:rPr>
          <w:rFonts w:ascii="Times New Roman" w:hAnsi="Times New Roman" w:cs="Times New Roman"/>
          <w:sz w:val="28"/>
          <w:szCs w:val="28"/>
        </w:rPr>
      </w:pPr>
      <w:r w:rsidRPr="003A0614">
        <w:rPr>
          <w:rFonts w:ascii="Times New Roman" w:hAnsi="Times New Roman" w:cs="Times New Roman"/>
          <w:sz w:val="28"/>
          <w:szCs w:val="28"/>
        </w:rPr>
        <w:t xml:space="preserve">муниципального района                                                               </w:t>
      </w:r>
      <w:r w:rsidR="003A0614">
        <w:rPr>
          <w:rFonts w:ascii="Times New Roman" w:hAnsi="Times New Roman" w:cs="Times New Roman"/>
          <w:sz w:val="28"/>
          <w:szCs w:val="28"/>
        </w:rPr>
        <w:t xml:space="preserve">       </w:t>
      </w:r>
      <w:r w:rsidRPr="003A0614">
        <w:rPr>
          <w:rFonts w:ascii="Times New Roman" w:hAnsi="Times New Roman" w:cs="Times New Roman"/>
          <w:sz w:val="28"/>
          <w:szCs w:val="28"/>
        </w:rPr>
        <w:t xml:space="preserve">А.В. </w:t>
      </w:r>
      <w:proofErr w:type="spellStart"/>
      <w:r w:rsidRPr="003A0614">
        <w:rPr>
          <w:rFonts w:ascii="Times New Roman" w:hAnsi="Times New Roman" w:cs="Times New Roman"/>
          <w:sz w:val="28"/>
          <w:szCs w:val="28"/>
        </w:rPr>
        <w:t>Петаев</w:t>
      </w:r>
      <w:proofErr w:type="spellEnd"/>
    </w:p>
    <w:p w:rsidR="00D71E9A" w:rsidRPr="00D71E9A" w:rsidRDefault="00D71E9A" w:rsidP="00D71E9A">
      <w:pPr>
        <w:pStyle w:val="a6"/>
        <w:spacing w:after="0" w:line="240" w:lineRule="auto"/>
        <w:ind w:left="360"/>
        <w:rPr>
          <w:rFonts w:ascii="Times New Roman" w:hAnsi="Times New Roman" w:cs="Times New Roman"/>
          <w:sz w:val="28"/>
          <w:szCs w:val="28"/>
        </w:rPr>
      </w:pPr>
    </w:p>
    <w:p w:rsidR="00D71E9A" w:rsidRPr="00D71E9A" w:rsidRDefault="00D71E9A" w:rsidP="00D71E9A">
      <w:pPr>
        <w:spacing w:after="0" w:line="240" w:lineRule="auto"/>
        <w:rPr>
          <w:rFonts w:ascii="Times New Roman" w:hAnsi="Times New Roman" w:cs="Times New Roman"/>
          <w:sz w:val="28"/>
          <w:szCs w:val="28"/>
        </w:rPr>
      </w:pPr>
    </w:p>
    <w:p w:rsidR="00D71E9A" w:rsidRPr="00D71E9A" w:rsidRDefault="00D71E9A" w:rsidP="00D71E9A">
      <w:pPr>
        <w:pStyle w:val="a6"/>
        <w:spacing w:after="0" w:line="240" w:lineRule="auto"/>
        <w:ind w:left="360"/>
        <w:rPr>
          <w:rFonts w:ascii="Times New Roman" w:hAnsi="Times New Roman" w:cs="Times New Roman"/>
          <w:sz w:val="28"/>
          <w:szCs w:val="28"/>
        </w:rPr>
      </w:pPr>
    </w:p>
    <w:p w:rsidR="00D71E9A" w:rsidRPr="003D299F" w:rsidRDefault="00D71E9A" w:rsidP="00D71E9A">
      <w:pPr>
        <w:pStyle w:val="a6"/>
        <w:tabs>
          <w:tab w:val="left" w:pos="6460"/>
        </w:tabs>
        <w:spacing w:after="0" w:line="240" w:lineRule="auto"/>
        <w:ind w:left="360"/>
        <w:rPr>
          <w:rFonts w:ascii="Times New Roman" w:hAnsi="Times New Roman" w:cs="Times New Roman"/>
          <w:color w:val="000000"/>
          <w:sz w:val="28"/>
          <w:szCs w:val="28"/>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3A0614" w:rsidRDefault="003A0614" w:rsidP="003A0614">
      <w:pPr>
        <w:spacing w:after="0" w:line="240" w:lineRule="auto"/>
        <w:jc w:val="right"/>
        <w:rPr>
          <w:rFonts w:ascii="Times New Roman" w:hAnsi="Times New Roman" w:cs="Times New Roman"/>
          <w:sz w:val="26"/>
          <w:szCs w:val="26"/>
        </w:rPr>
      </w:pPr>
      <w:r w:rsidRPr="003A0614">
        <w:rPr>
          <w:rFonts w:ascii="Times New Roman" w:hAnsi="Times New Roman" w:cs="Times New Roman"/>
          <w:sz w:val="26"/>
          <w:szCs w:val="26"/>
        </w:rPr>
        <w:lastRenderedPageBreak/>
        <w:t xml:space="preserve">Приложение к решению </w:t>
      </w:r>
    </w:p>
    <w:p w:rsidR="003A0614" w:rsidRPr="003A0614" w:rsidRDefault="003A0614" w:rsidP="003A0614">
      <w:pPr>
        <w:spacing w:after="0" w:line="240" w:lineRule="auto"/>
        <w:jc w:val="right"/>
        <w:rPr>
          <w:rFonts w:ascii="Times New Roman" w:hAnsi="Times New Roman" w:cs="Times New Roman"/>
          <w:sz w:val="26"/>
          <w:szCs w:val="26"/>
        </w:rPr>
      </w:pPr>
      <w:r w:rsidRPr="003A0614">
        <w:rPr>
          <w:rFonts w:ascii="Times New Roman" w:hAnsi="Times New Roman" w:cs="Times New Roman"/>
          <w:sz w:val="26"/>
          <w:szCs w:val="26"/>
        </w:rPr>
        <w:t>районного Собрания</w:t>
      </w:r>
    </w:p>
    <w:p w:rsidR="003A0614" w:rsidRPr="003A0614" w:rsidRDefault="003A0614" w:rsidP="003A0614">
      <w:pPr>
        <w:spacing w:after="0" w:line="240" w:lineRule="auto"/>
        <w:jc w:val="right"/>
        <w:rPr>
          <w:rFonts w:ascii="Times New Roman" w:hAnsi="Times New Roman" w:cs="Times New Roman"/>
          <w:sz w:val="26"/>
          <w:szCs w:val="26"/>
          <w:u w:val="single"/>
        </w:rPr>
      </w:pPr>
      <w:r w:rsidRPr="003A0614">
        <w:rPr>
          <w:rFonts w:ascii="Times New Roman" w:hAnsi="Times New Roman" w:cs="Times New Roman"/>
          <w:sz w:val="26"/>
          <w:szCs w:val="26"/>
        </w:rPr>
        <w:t xml:space="preserve">от </w:t>
      </w:r>
      <w:r w:rsidRPr="003A0614">
        <w:rPr>
          <w:rFonts w:ascii="Times New Roman" w:hAnsi="Times New Roman" w:cs="Times New Roman"/>
          <w:sz w:val="26"/>
          <w:szCs w:val="26"/>
          <w:u w:val="single"/>
        </w:rPr>
        <w:t>27.01.2020 г. №04</w:t>
      </w:r>
    </w:p>
    <w:p w:rsidR="003A0614" w:rsidRDefault="003A0614" w:rsidP="003A0614">
      <w:pPr>
        <w:jc w:val="right"/>
        <w:rPr>
          <w:sz w:val="26"/>
          <w:szCs w:val="26"/>
          <w:u w:val="single"/>
        </w:rPr>
      </w:pPr>
    </w:p>
    <w:p w:rsidR="003A0614" w:rsidRPr="00945CCD" w:rsidRDefault="003A0614" w:rsidP="003A0614">
      <w:pPr>
        <w:spacing w:after="0" w:line="240" w:lineRule="auto"/>
        <w:jc w:val="right"/>
        <w:rPr>
          <w:rFonts w:ascii="Times New Roman" w:hAnsi="Times New Roman" w:cs="Times New Roman"/>
          <w:sz w:val="26"/>
          <w:szCs w:val="26"/>
          <w:u w:val="single"/>
        </w:rPr>
      </w:pPr>
    </w:p>
    <w:p w:rsidR="003A0614" w:rsidRPr="00945CCD" w:rsidRDefault="003A0614" w:rsidP="003A061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r w:rsidRPr="00945CCD">
        <w:rPr>
          <w:rFonts w:ascii="Times New Roman" w:hAnsi="Times New Roman" w:cs="Times New Roman"/>
          <w:b/>
          <w:bCs/>
          <w:sz w:val="26"/>
          <w:szCs w:val="26"/>
          <w:lang w:eastAsia="ru-RU"/>
        </w:rPr>
        <w:t xml:space="preserve">СОСТАВ МАТЕРИАЛОВ </w:t>
      </w:r>
    </w:p>
    <w:p w:rsidR="003A0614" w:rsidRPr="00945CCD" w:rsidRDefault="003A0614" w:rsidP="003A061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r w:rsidRPr="00945CCD">
        <w:rPr>
          <w:rFonts w:ascii="Times New Roman" w:hAnsi="Times New Roman" w:cs="Times New Roman"/>
          <w:b/>
          <w:bCs/>
          <w:sz w:val="26"/>
          <w:szCs w:val="26"/>
          <w:lang w:eastAsia="ru-RU"/>
        </w:rPr>
        <w:t>по изменению генерального плана</w:t>
      </w:r>
    </w:p>
    <w:p w:rsidR="003A0614" w:rsidRPr="00945CCD" w:rsidRDefault="003A0614" w:rsidP="003A0614">
      <w:pPr>
        <w:widowControl w:val="0"/>
        <w:shd w:val="clear" w:color="auto" w:fill="FFFFFF"/>
        <w:snapToGrid w:val="0"/>
        <w:spacing w:after="0" w:line="240" w:lineRule="auto"/>
        <w:ind w:right="293" w:firstLine="560"/>
        <w:jc w:val="center"/>
        <w:rPr>
          <w:rFonts w:ascii="Times New Roman" w:hAnsi="Times New Roman" w:cs="Times New Roman"/>
          <w:b/>
          <w:bCs/>
          <w:sz w:val="26"/>
          <w:szCs w:val="26"/>
          <w:lang w:eastAsia="ru-RU"/>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91"/>
        <w:gridCol w:w="851"/>
        <w:gridCol w:w="850"/>
        <w:gridCol w:w="1559"/>
        <w:gridCol w:w="2169"/>
      </w:tblGrid>
      <w:tr w:rsidR="003A0614" w:rsidRPr="00945CCD" w:rsidTr="005075E7">
        <w:trPr>
          <w:trHeight w:val="34"/>
        </w:trPr>
        <w:tc>
          <w:tcPr>
            <w:tcW w:w="4111" w:type="dxa"/>
            <w:gridSpan w:val="2"/>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гриф</w:t>
            </w:r>
          </w:p>
        </w:tc>
        <w:tc>
          <w:tcPr>
            <w:tcW w:w="850"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ind w:hanging="108"/>
              <w:jc w:val="center"/>
              <w:rPr>
                <w:rFonts w:ascii="Times New Roman" w:hAnsi="Times New Roman" w:cs="Times New Roman"/>
                <w:sz w:val="26"/>
                <w:szCs w:val="26"/>
                <w:lang w:eastAsia="ru-RU"/>
              </w:rPr>
            </w:pPr>
            <w:proofErr w:type="spellStart"/>
            <w:r w:rsidRPr="00945CCD">
              <w:rPr>
                <w:rFonts w:ascii="Times New Roman" w:hAnsi="Times New Roman" w:cs="Times New Roman"/>
                <w:sz w:val="26"/>
                <w:szCs w:val="26"/>
                <w:lang w:eastAsia="ru-RU"/>
              </w:rPr>
              <w:t>инв.№</w:t>
            </w:r>
            <w:proofErr w:type="spellEnd"/>
          </w:p>
        </w:tc>
        <w:tc>
          <w:tcPr>
            <w:tcW w:w="3728" w:type="dxa"/>
            <w:gridSpan w:val="2"/>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Примечание</w:t>
            </w:r>
          </w:p>
        </w:tc>
      </w:tr>
      <w:tr w:rsidR="003A0614" w:rsidRPr="00945CCD" w:rsidTr="005075E7">
        <w:trPr>
          <w:trHeight w:val="21"/>
        </w:trPr>
        <w:tc>
          <w:tcPr>
            <w:tcW w:w="4111" w:type="dxa"/>
            <w:gridSpan w:val="2"/>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Пояснительная записка</w:t>
            </w:r>
          </w:p>
        </w:tc>
        <w:tc>
          <w:tcPr>
            <w:tcW w:w="85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roofErr w:type="spellStart"/>
            <w:r w:rsidRPr="00945CCD">
              <w:rPr>
                <w:rFonts w:ascii="Times New Roman" w:hAnsi="Times New Roman" w:cs="Times New Roman"/>
                <w:sz w:val="26"/>
                <w:szCs w:val="26"/>
                <w:lang w:eastAsia="ru-RU"/>
              </w:rPr>
              <w:t>н</w:t>
            </w:r>
            <w:proofErr w:type="spellEnd"/>
            <w:r w:rsidRPr="00945CCD">
              <w:rPr>
                <w:rFonts w:ascii="Times New Roman" w:hAnsi="Times New Roman" w:cs="Times New Roman"/>
                <w:sz w:val="26"/>
                <w:szCs w:val="26"/>
                <w:lang w:eastAsia="ru-RU"/>
              </w:rPr>
              <w:t>/с</w:t>
            </w:r>
          </w:p>
        </w:tc>
        <w:tc>
          <w:tcPr>
            <w:tcW w:w="85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
        </w:tc>
        <w:tc>
          <w:tcPr>
            <w:tcW w:w="3728" w:type="dxa"/>
            <w:gridSpan w:val="2"/>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Сшив формата</w:t>
            </w:r>
            <w:proofErr w:type="gramStart"/>
            <w:r w:rsidRPr="00945CCD">
              <w:rPr>
                <w:rFonts w:ascii="Times New Roman" w:hAnsi="Times New Roman" w:cs="Times New Roman"/>
                <w:sz w:val="26"/>
                <w:szCs w:val="26"/>
                <w:lang w:eastAsia="ru-RU"/>
              </w:rPr>
              <w:t xml:space="preserve"> А</w:t>
            </w:r>
            <w:proofErr w:type="gramEnd"/>
            <w:r w:rsidRPr="00945CCD">
              <w:rPr>
                <w:rFonts w:ascii="Times New Roman" w:hAnsi="Times New Roman" w:cs="Times New Roman"/>
                <w:sz w:val="26"/>
                <w:szCs w:val="26"/>
                <w:lang w:eastAsia="ru-RU"/>
              </w:rPr>
              <w:t xml:space="preserve"> 4</w:t>
            </w:r>
          </w:p>
        </w:tc>
      </w:tr>
      <w:tr w:rsidR="003A0614" w:rsidRPr="00945CCD" w:rsidTr="005075E7">
        <w:trPr>
          <w:trHeight w:val="21"/>
        </w:trPr>
        <w:tc>
          <w:tcPr>
            <w:tcW w:w="9540" w:type="dxa"/>
            <w:gridSpan w:val="6"/>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b/>
                <w:sz w:val="26"/>
                <w:szCs w:val="26"/>
                <w:u w:val="single"/>
                <w:lang w:eastAsia="ru-RU"/>
              </w:rPr>
            </w:pPr>
            <w:r w:rsidRPr="00945CCD">
              <w:rPr>
                <w:rFonts w:ascii="Times New Roman" w:hAnsi="Times New Roman" w:cs="Times New Roman"/>
                <w:b/>
                <w:sz w:val="26"/>
                <w:szCs w:val="26"/>
                <w:u w:val="single"/>
                <w:lang w:eastAsia="ru-RU"/>
              </w:rPr>
              <w:t>Проект изменений генерального плана в графической форме:</w:t>
            </w:r>
          </w:p>
        </w:tc>
      </w:tr>
      <w:tr w:rsidR="003A0614" w:rsidRPr="00945CCD" w:rsidTr="005075E7">
        <w:trPr>
          <w:trHeight w:val="21"/>
        </w:trPr>
        <w:tc>
          <w:tcPr>
            <w:tcW w:w="720"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ind w:left="-108" w:right="-108"/>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 </w:t>
            </w:r>
            <w:proofErr w:type="spellStart"/>
            <w:proofErr w:type="gramStart"/>
            <w:r w:rsidRPr="00945CCD">
              <w:rPr>
                <w:rFonts w:ascii="Times New Roman" w:hAnsi="Times New Roman" w:cs="Times New Roman"/>
                <w:sz w:val="26"/>
                <w:szCs w:val="26"/>
                <w:lang w:eastAsia="ru-RU"/>
              </w:rPr>
              <w:t>п</w:t>
            </w:r>
            <w:proofErr w:type="spellEnd"/>
            <w:proofErr w:type="gramEnd"/>
            <w:r w:rsidRPr="00945CCD">
              <w:rPr>
                <w:rFonts w:ascii="Times New Roman" w:hAnsi="Times New Roman" w:cs="Times New Roman"/>
                <w:sz w:val="26"/>
                <w:szCs w:val="26"/>
                <w:lang w:eastAsia="ru-RU"/>
              </w:rPr>
              <w:t>/</w:t>
            </w:r>
            <w:proofErr w:type="spellStart"/>
            <w:r w:rsidRPr="00945CCD">
              <w:rPr>
                <w:rFonts w:ascii="Times New Roman" w:hAnsi="Times New Roman" w:cs="Times New Roman"/>
                <w:sz w:val="26"/>
                <w:szCs w:val="26"/>
                <w:lang w:eastAsia="ru-RU"/>
              </w:rPr>
              <w:t>п</w:t>
            </w:r>
            <w:proofErr w:type="spellEnd"/>
          </w:p>
        </w:tc>
        <w:tc>
          <w:tcPr>
            <w:tcW w:w="3391"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гриф</w:t>
            </w:r>
          </w:p>
        </w:tc>
        <w:tc>
          <w:tcPr>
            <w:tcW w:w="850"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ind w:hanging="108"/>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инв. №</w:t>
            </w:r>
          </w:p>
        </w:tc>
        <w:tc>
          <w:tcPr>
            <w:tcW w:w="1559"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Масштаб</w:t>
            </w:r>
          </w:p>
        </w:tc>
        <w:tc>
          <w:tcPr>
            <w:tcW w:w="2169" w:type="dxa"/>
            <w:tcBorders>
              <w:top w:val="single" w:sz="4" w:space="0" w:color="auto"/>
              <w:left w:val="single" w:sz="4" w:space="0" w:color="auto"/>
              <w:bottom w:val="single" w:sz="4" w:space="0" w:color="auto"/>
              <w:right w:val="single" w:sz="4" w:space="0" w:color="auto"/>
            </w:tcBorders>
            <w:vAlign w:val="center"/>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Примечание</w:t>
            </w:r>
          </w:p>
        </w:tc>
      </w:tr>
      <w:tr w:rsidR="003A0614" w:rsidRPr="00945CCD" w:rsidTr="005075E7">
        <w:trPr>
          <w:trHeight w:val="21"/>
        </w:trPr>
        <w:tc>
          <w:tcPr>
            <w:tcW w:w="72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1</w:t>
            </w:r>
          </w:p>
        </w:tc>
        <w:tc>
          <w:tcPr>
            <w:tcW w:w="339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Карта планируемого размещения объектов местного значения (сетей и объектов электроснабжения, газоснабжения, водоснабжения и водоотведения, теплоснабжения, связи)</w:t>
            </w:r>
          </w:p>
        </w:tc>
        <w:tc>
          <w:tcPr>
            <w:tcW w:w="85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roofErr w:type="spellStart"/>
            <w:r w:rsidRPr="00945CCD">
              <w:rPr>
                <w:rFonts w:ascii="Times New Roman" w:hAnsi="Times New Roman" w:cs="Times New Roman"/>
                <w:sz w:val="26"/>
                <w:szCs w:val="26"/>
                <w:lang w:eastAsia="ru-RU"/>
              </w:rPr>
              <w:t>н</w:t>
            </w:r>
            <w:proofErr w:type="spellEnd"/>
            <w:r w:rsidRPr="00945CCD">
              <w:rPr>
                <w:rFonts w:ascii="Times New Roman" w:hAnsi="Times New Roman" w:cs="Times New Roman"/>
                <w:sz w:val="26"/>
                <w:szCs w:val="26"/>
                <w:lang w:eastAsia="ru-RU"/>
              </w:rPr>
              <w:t>/с</w:t>
            </w:r>
          </w:p>
        </w:tc>
        <w:tc>
          <w:tcPr>
            <w:tcW w:w="85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
        </w:tc>
        <w:tc>
          <w:tcPr>
            <w:tcW w:w="155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М 1:20 000</w:t>
            </w:r>
          </w:p>
        </w:tc>
        <w:tc>
          <w:tcPr>
            <w:tcW w:w="216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Новая редакция </w:t>
            </w:r>
          </w:p>
        </w:tc>
      </w:tr>
      <w:tr w:rsidR="003A0614" w:rsidRPr="00945CCD" w:rsidTr="005075E7">
        <w:trPr>
          <w:trHeight w:val="21"/>
        </w:trPr>
        <w:tc>
          <w:tcPr>
            <w:tcW w:w="72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2</w:t>
            </w:r>
          </w:p>
        </w:tc>
        <w:tc>
          <w:tcPr>
            <w:tcW w:w="339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Карта границ населенных пунктов, входящих в состав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roofErr w:type="spellStart"/>
            <w:r w:rsidRPr="00945CCD">
              <w:rPr>
                <w:rFonts w:ascii="Times New Roman" w:hAnsi="Times New Roman" w:cs="Times New Roman"/>
                <w:sz w:val="26"/>
                <w:szCs w:val="26"/>
                <w:lang w:eastAsia="ru-RU"/>
              </w:rPr>
              <w:t>н</w:t>
            </w:r>
            <w:proofErr w:type="spellEnd"/>
            <w:r w:rsidRPr="00945CCD">
              <w:rPr>
                <w:rFonts w:ascii="Times New Roman" w:hAnsi="Times New Roman" w:cs="Times New Roman"/>
                <w:sz w:val="26"/>
                <w:szCs w:val="26"/>
                <w:lang w:eastAsia="ru-RU"/>
              </w:rPr>
              <w:t>/с</w:t>
            </w:r>
          </w:p>
        </w:tc>
        <w:tc>
          <w:tcPr>
            <w:tcW w:w="85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
        </w:tc>
        <w:tc>
          <w:tcPr>
            <w:tcW w:w="155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М 1:20 000</w:t>
            </w:r>
          </w:p>
        </w:tc>
        <w:tc>
          <w:tcPr>
            <w:tcW w:w="216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Новая  редакция</w:t>
            </w:r>
          </w:p>
        </w:tc>
      </w:tr>
      <w:tr w:rsidR="003A0614" w:rsidRPr="00945CCD" w:rsidTr="005075E7">
        <w:trPr>
          <w:trHeight w:val="21"/>
        </w:trPr>
        <w:tc>
          <w:tcPr>
            <w:tcW w:w="72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3</w:t>
            </w:r>
          </w:p>
        </w:tc>
        <w:tc>
          <w:tcPr>
            <w:tcW w:w="339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Карта функциональных зон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roofErr w:type="spellStart"/>
            <w:r w:rsidRPr="00945CCD">
              <w:rPr>
                <w:rFonts w:ascii="Times New Roman" w:hAnsi="Times New Roman" w:cs="Times New Roman"/>
                <w:sz w:val="26"/>
                <w:szCs w:val="26"/>
                <w:lang w:eastAsia="ru-RU"/>
              </w:rPr>
              <w:t>н</w:t>
            </w:r>
            <w:proofErr w:type="spellEnd"/>
            <w:r w:rsidRPr="00945CCD">
              <w:rPr>
                <w:rFonts w:ascii="Times New Roman" w:hAnsi="Times New Roman" w:cs="Times New Roman"/>
                <w:sz w:val="26"/>
                <w:szCs w:val="26"/>
                <w:lang w:eastAsia="ru-RU"/>
              </w:rPr>
              <w:t>/с</w:t>
            </w:r>
          </w:p>
        </w:tc>
        <w:tc>
          <w:tcPr>
            <w:tcW w:w="850"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p>
        </w:tc>
        <w:tc>
          <w:tcPr>
            <w:tcW w:w="155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rPr>
                <w:rFonts w:ascii="Times New Roman" w:hAnsi="Times New Roman" w:cs="Times New Roman"/>
                <w:sz w:val="26"/>
                <w:szCs w:val="26"/>
                <w:lang w:eastAsia="ru-RU"/>
              </w:rPr>
            </w:pPr>
            <w:r w:rsidRPr="00945CCD">
              <w:rPr>
                <w:rFonts w:ascii="Times New Roman" w:hAnsi="Times New Roman" w:cs="Times New Roman"/>
                <w:sz w:val="26"/>
                <w:szCs w:val="26"/>
                <w:lang w:eastAsia="ru-RU"/>
              </w:rPr>
              <w:t>М 1:20 000</w:t>
            </w:r>
          </w:p>
        </w:tc>
        <w:tc>
          <w:tcPr>
            <w:tcW w:w="2169" w:type="dxa"/>
            <w:tcBorders>
              <w:top w:val="single" w:sz="4" w:space="0" w:color="auto"/>
              <w:left w:val="single" w:sz="4" w:space="0" w:color="auto"/>
              <w:bottom w:val="single" w:sz="4" w:space="0" w:color="auto"/>
              <w:right w:val="single" w:sz="4" w:space="0" w:color="auto"/>
            </w:tcBorders>
          </w:tcPr>
          <w:p w:rsidR="003A0614" w:rsidRPr="00945CCD" w:rsidRDefault="003A0614" w:rsidP="005075E7">
            <w:pPr>
              <w:spacing w:after="0" w:line="240" w:lineRule="auto"/>
              <w:jc w:val="center"/>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Новая  редакция</w:t>
            </w:r>
          </w:p>
        </w:tc>
      </w:tr>
    </w:tbl>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Default="003A0614" w:rsidP="003A0614">
      <w:pPr>
        <w:spacing w:after="0" w:line="240" w:lineRule="auto"/>
        <w:jc w:val="center"/>
        <w:rPr>
          <w:rFonts w:ascii="Times New Roman" w:hAnsi="Times New Roman" w:cs="Times New Roman"/>
          <w:sz w:val="26"/>
          <w:szCs w:val="26"/>
        </w:rPr>
      </w:pPr>
    </w:p>
    <w:p w:rsidR="003A0614" w:rsidRDefault="003A0614" w:rsidP="003A0614">
      <w:pPr>
        <w:spacing w:after="0" w:line="240" w:lineRule="auto"/>
        <w:jc w:val="center"/>
        <w:rPr>
          <w:rFonts w:ascii="Times New Roman" w:hAnsi="Times New Roman" w:cs="Times New Roman"/>
          <w:sz w:val="26"/>
          <w:szCs w:val="26"/>
        </w:rPr>
      </w:pPr>
    </w:p>
    <w:p w:rsidR="003A0614"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3A0614" w:rsidRDefault="003A0614" w:rsidP="003A0614">
      <w:pPr>
        <w:spacing w:after="0" w:line="240" w:lineRule="auto"/>
        <w:jc w:val="right"/>
        <w:rPr>
          <w:rFonts w:ascii="Times New Roman" w:hAnsi="Times New Roman" w:cs="Times New Roman"/>
          <w:sz w:val="26"/>
          <w:szCs w:val="26"/>
        </w:rPr>
      </w:pPr>
      <w:r w:rsidRPr="003A0614">
        <w:rPr>
          <w:rFonts w:ascii="Times New Roman" w:hAnsi="Times New Roman" w:cs="Times New Roman"/>
          <w:sz w:val="26"/>
          <w:szCs w:val="26"/>
        </w:rPr>
        <w:lastRenderedPageBreak/>
        <w:t xml:space="preserve">Приложение к решению </w:t>
      </w:r>
    </w:p>
    <w:p w:rsidR="003A0614" w:rsidRPr="003A0614" w:rsidRDefault="003A0614" w:rsidP="003A0614">
      <w:pPr>
        <w:spacing w:after="0" w:line="240" w:lineRule="auto"/>
        <w:jc w:val="right"/>
        <w:rPr>
          <w:rFonts w:ascii="Times New Roman" w:hAnsi="Times New Roman" w:cs="Times New Roman"/>
          <w:sz w:val="26"/>
          <w:szCs w:val="26"/>
        </w:rPr>
      </w:pPr>
      <w:r w:rsidRPr="003A0614">
        <w:rPr>
          <w:rFonts w:ascii="Times New Roman" w:hAnsi="Times New Roman" w:cs="Times New Roman"/>
          <w:sz w:val="26"/>
          <w:szCs w:val="26"/>
        </w:rPr>
        <w:t>районного Собрания</w:t>
      </w:r>
    </w:p>
    <w:p w:rsidR="003A0614" w:rsidRPr="003A0614" w:rsidRDefault="003A0614" w:rsidP="003A0614">
      <w:pPr>
        <w:spacing w:after="0" w:line="240" w:lineRule="auto"/>
        <w:jc w:val="right"/>
        <w:rPr>
          <w:rFonts w:ascii="Times New Roman" w:hAnsi="Times New Roman" w:cs="Times New Roman"/>
          <w:sz w:val="26"/>
          <w:szCs w:val="26"/>
          <w:u w:val="single"/>
        </w:rPr>
      </w:pPr>
      <w:r w:rsidRPr="003A0614">
        <w:rPr>
          <w:rFonts w:ascii="Times New Roman" w:hAnsi="Times New Roman" w:cs="Times New Roman"/>
          <w:sz w:val="26"/>
          <w:szCs w:val="26"/>
        </w:rPr>
        <w:t xml:space="preserve">от </w:t>
      </w:r>
      <w:r w:rsidRPr="003A0614">
        <w:rPr>
          <w:rFonts w:ascii="Times New Roman" w:hAnsi="Times New Roman" w:cs="Times New Roman"/>
          <w:sz w:val="26"/>
          <w:szCs w:val="26"/>
          <w:u w:val="single"/>
        </w:rPr>
        <w:t>27.01.2020 г. №04</w:t>
      </w: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sz w:val="26"/>
          <w:szCs w:val="26"/>
        </w:rPr>
      </w:pPr>
    </w:p>
    <w:p w:rsidR="003A0614" w:rsidRPr="00945CCD" w:rsidRDefault="003A0614" w:rsidP="003A0614">
      <w:pPr>
        <w:spacing w:after="0" w:line="240" w:lineRule="auto"/>
        <w:jc w:val="center"/>
        <w:rPr>
          <w:rFonts w:ascii="Times New Roman" w:hAnsi="Times New Roman" w:cs="Times New Roman"/>
          <w:b/>
          <w:sz w:val="26"/>
          <w:szCs w:val="26"/>
        </w:rPr>
      </w:pPr>
      <w:r w:rsidRPr="00945CCD">
        <w:rPr>
          <w:rFonts w:ascii="Times New Roman" w:hAnsi="Times New Roman" w:cs="Times New Roman"/>
          <w:b/>
          <w:sz w:val="26"/>
          <w:szCs w:val="26"/>
        </w:rPr>
        <w:t>ВВЕДЕНИЕ</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Настоящие изменения в действующий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 Красноармейского муниципального района Саратовской области подготовлены на основании договора №209/2019-ВФРВ от 03.10.2019г. с ООО «</w:t>
      </w:r>
      <w:proofErr w:type="spellStart"/>
      <w:r w:rsidRPr="00945CCD">
        <w:rPr>
          <w:rFonts w:ascii="Times New Roman" w:hAnsi="Times New Roman" w:cs="Times New Roman"/>
          <w:sz w:val="26"/>
          <w:szCs w:val="26"/>
          <w:lang w:eastAsia="ru-RU"/>
        </w:rPr>
        <w:t>Ветропарки</w:t>
      </w:r>
      <w:proofErr w:type="spellEnd"/>
      <w:r w:rsidRPr="00945CCD">
        <w:rPr>
          <w:rFonts w:ascii="Times New Roman" w:hAnsi="Times New Roman" w:cs="Times New Roman"/>
          <w:sz w:val="26"/>
          <w:szCs w:val="26"/>
          <w:lang w:eastAsia="ru-RU"/>
        </w:rPr>
        <w:t xml:space="preserve"> ФРВ» согласно </w:t>
      </w:r>
      <w:proofErr w:type="gramStart"/>
      <w:r w:rsidRPr="00945CCD">
        <w:rPr>
          <w:rFonts w:ascii="Times New Roman" w:hAnsi="Times New Roman" w:cs="Times New Roman"/>
          <w:sz w:val="26"/>
          <w:szCs w:val="26"/>
          <w:lang w:eastAsia="ru-RU"/>
        </w:rPr>
        <w:t>ч</w:t>
      </w:r>
      <w:proofErr w:type="gramEnd"/>
      <w:r w:rsidRPr="00945CCD">
        <w:rPr>
          <w:rFonts w:ascii="Times New Roman" w:hAnsi="Times New Roman" w:cs="Times New Roman"/>
          <w:sz w:val="26"/>
          <w:szCs w:val="26"/>
          <w:lang w:eastAsia="ru-RU"/>
        </w:rPr>
        <w:t>.17 ст. 24 Градостроительного кодекса РФ.</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Проект изменений подготовлен ООО ПСК «ФИНЕСКО» на основании:</w:t>
      </w:r>
    </w:p>
    <w:p w:rsidR="003A0614" w:rsidRPr="00945CCD" w:rsidRDefault="003A0614" w:rsidP="003A0614">
      <w:pPr>
        <w:numPr>
          <w:ilvl w:val="0"/>
          <w:numId w:val="3"/>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Градостроительного кодекса РФ.</w:t>
      </w:r>
    </w:p>
    <w:p w:rsidR="003A0614" w:rsidRPr="00945CCD" w:rsidRDefault="003A0614" w:rsidP="003A0614">
      <w:pPr>
        <w:numPr>
          <w:ilvl w:val="0"/>
          <w:numId w:val="3"/>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Постановления Администрации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 04.10.2019 г. № 49 «О подготовке предложений о внесении изменений в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w:t>
      </w:r>
      <w:proofErr w:type="spellStart"/>
      <w:r w:rsidRPr="00945CCD">
        <w:rPr>
          <w:rFonts w:ascii="Times New Roman" w:hAnsi="Times New Roman" w:cs="Times New Roman"/>
          <w:sz w:val="26"/>
          <w:szCs w:val="26"/>
          <w:lang w:eastAsia="ru-RU"/>
        </w:rPr>
        <w:t>муницпального</w:t>
      </w:r>
      <w:proofErr w:type="spellEnd"/>
      <w:r w:rsidRPr="00945CCD">
        <w:rPr>
          <w:rFonts w:ascii="Times New Roman" w:hAnsi="Times New Roman" w:cs="Times New Roman"/>
          <w:sz w:val="26"/>
          <w:szCs w:val="26"/>
          <w:lang w:eastAsia="ru-RU"/>
        </w:rPr>
        <w:t xml:space="preserve"> образования Красноармейского муниципального района Саратовской области </w:t>
      </w:r>
      <w:proofErr w:type="spellStart"/>
      <w:proofErr w:type="gramStart"/>
      <w:r w:rsidRPr="00945CCD">
        <w:rPr>
          <w:rFonts w:ascii="Times New Roman" w:hAnsi="Times New Roman" w:cs="Times New Roman"/>
          <w:sz w:val="26"/>
          <w:szCs w:val="26"/>
          <w:lang w:eastAsia="ru-RU"/>
        </w:rPr>
        <w:t>области</w:t>
      </w:r>
      <w:proofErr w:type="spellEnd"/>
      <w:proofErr w:type="gramEnd"/>
      <w:r w:rsidRPr="00945CCD">
        <w:rPr>
          <w:rFonts w:ascii="Times New Roman" w:hAnsi="Times New Roman" w:cs="Times New Roman"/>
          <w:sz w:val="26"/>
          <w:szCs w:val="26"/>
          <w:lang w:eastAsia="ru-RU"/>
        </w:rPr>
        <w:t>»;</w:t>
      </w:r>
    </w:p>
    <w:p w:rsidR="003A0614" w:rsidRPr="00945CCD" w:rsidRDefault="003A0614" w:rsidP="003A0614">
      <w:pPr>
        <w:numPr>
          <w:ilvl w:val="0"/>
          <w:numId w:val="3"/>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Технического задания от 03.10.2019 </w:t>
      </w:r>
      <w:r w:rsidRPr="00945CCD">
        <w:rPr>
          <w:rFonts w:ascii="Times New Roman" w:hAnsi="Times New Roman" w:cs="Times New Roman"/>
          <w:sz w:val="26"/>
          <w:szCs w:val="26"/>
        </w:rPr>
        <w:t>г.</w:t>
      </w:r>
      <w:r w:rsidRPr="00945CCD">
        <w:rPr>
          <w:rFonts w:ascii="Times New Roman" w:hAnsi="Times New Roman" w:cs="Times New Roman"/>
          <w:sz w:val="26"/>
          <w:szCs w:val="26"/>
          <w:lang w:eastAsia="ru-RU"/>
        </w:rPr>
        <w:t xml:space="preserve"> на выполнение работ по подготовке проекта внесения изменений в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w:t>
      </w:r>
      <w:proofErr w:type="spellStart"/>
      <w:r w:rsidRPr="00945CCD">
        <w:rPr>
          <w:rFonts w:ascii="Times New Roman" w:hAnsi="Times New Roman" w:cs="Times New Roman"/>
          <w:sz w:val="26"/>
          <w:szCs w:val="26"/>
          <w:lang w:eastAsia="ru-RU"/>
        </w:rPr>
        <w:t>муницпального</w:t>
      </w:r>
      <w:proofErr w:type="spellEnd"/>
      <w:r w:rsidRPr="00945CCD">
        <w:rPr>
          <w:rFonts w:ascii="Times New Roman" w:hAnsi="Times New Roman" w:cs="Times New Roman"/>
          <w:sz w:val="26"/>
          <w:szCs w:val="26"/>
          <w:lang w:eastAsia="ru-RU"/>
        </w:rPr>
        <w:t xml:space="preserve"> образования Красноармейского муниципального района Саратовской области </w:t>
      </w:r>
      <w:proofErr w:type="spellStart"/>
      <w:proofErr w:type="gramStart"/>
      <w:r w:rsidRPr="00945CCD">
        <w:rPr>
          <w:rFonts w:ascii="Times New Roman" w:hAnsi="Times New Roman" w:cs="Times New Roman"/>
          <w:sz w:val="26"/>
          <w:szCs w:val="26"/>
          <w:lang w:eastAsia="ru-RU"/>
        </w:rPr>
        <w:t>области</w:t>
      </w:r>
      <w:proofErr w:type="spellEnd"/>
      <w:proofErr w:type="gramEnd"/>
      <w:r w:rsidRPr="00945CCD">
        <w:rPr>
          <w:rFonts w:ascii="Times New Roman" w:hAnsi="Times New Roman" w:cs="Times New Roman"/>
          <w:sz w:val="26"/>
          <w:szCs w:val="26"/>
          <w:lang w:eastAsia="ru-RU"/>
        </w:rPr>
        <w:t>»;</w:t>
      </w:r>
    </w:p>
    <w:p w:rsidR="003A0614" w:rsidRPr="00945CCD" w:rsidRDefault="003A0614" w:rsidP="003A0614">
      <w:pPr>
        <w:spacing w:after="0" w:line="240" w:lineRule="auto"/>
        <w:ind w:left="1418"/>
        <w:jc w:val="both"/>
        <w:rPr>
          <w:rFonts w:ascii="Times New Roman" w:hAnsi="Times New Roman" w:cs="Times New Roman"/>
          <w:sz w:val="26"/>
          <w:szCs w:val="26"/>
          <w:lang w:eastAsia="ru-RU"/>
        </w:rPr>
      </w:pP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В рамках работы по подготовке проекта изменений выполнено:</w:t>
      </w:r>
    </w:p>
    <w:p w:rsidR="003A0614" w:rsidRPr="00945CCD" w:rsidRDefault="003A0614" w:rsidP="003A0614">
      <w:pPr>
        <w:numPr>
          <w:ilvl w:val="0"/>
          <w:numId w:val="4"/>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Подготовлена настоящая пояснительная записка; </w:t>
      </w:r>
    </w:p>
    <w:p w:rsidR="003A0614" w:rsidRPr="00945CCD" w:rsidRDefault="003A0614" w:rsidP="003A0614">
      <w:pPr>
        <w:numPr>
          <w:ilvl w:val="0"/>
          <w:numId w:val="4"/>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Откорректирована в необходимом объеме графическая часть действующего генерального плана.</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Целью подготовки проекта внесения изменений является:</w:t>
      </w:r>
    </w:p>
    <w:p w:rsidR="003A0614" w:rsidRPr="00945CCD" w:rsidRDefault="003A0614" w:rsidP="003A0614">
      <w:pPr>
        <w:numPr>
          <w:ilvl w:val="0"/>
          <w:numId w:val="5"/>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Создание условий для реализации инвестиционного проекта по строительству ветровых электрических станций (далее – ВЭС) </w:t>
      </w:r>
      <w:bookmarkStart w:id="0" w:name="_GoBack"/>
      <w:bookmarkEnd w:id="0"/>
      <w:r w:rsidRPr="00945CCD">
        <w:rPr>
          <w:rFonts w:ascii="Times New Roman" w:hAnsi="Times New Roman" w:cs="Times New Roman"/>
          <w:sz w:val="26"/>
          <w:szCs w:val="26"/>
          <w:lang w:eastAsia="ru-RU"/>
        </w:rPr>
        <w:t>в Саратовской области, а именно строительство объектов ветровой электрической станции</w:t>
      </w:r>
      <w:r w:rsidRPr="00945CCD">
        <w:rPr>
          <w:rFonts w:ascii="Times New Roman" w:hAnsi="Times New Roman" w:cs="Times New Roman"/>
          <w:bCs/>
          <w:sz w:val="26"/>
          <w:szCs w:val="26"/>
          <w:lang w:eastAsia="ru-RU"/>
        </w:rPr>
        <w:t xml:space="preserve"> на территории сельского поселения.</w:t>
      </w:r>
    </w:p>
    <w:p w:rsidR="003A0614" w:rsidRPr="00945CCD" w:rsidRDefault="003A0614" w:rsidP="003A0614">
      <w:pPr>
        <w:numPr>
          <w:ilvl w:val="0"/>
          <w:numId w:val="5"/>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Достижение устойчивого социально-экономического развития поселения методом территориального планирования на основе рационального использования земель и их охраны, развития инженерной, транспортной и социальной инфраструктуры, охраны природы, защиты территорий от воздействия чрезвычайных ситуаций природного и техногенного воздействия, повышения эффективности управления территорией поселения. </w:t>
      </w:r>
    </w:p>
    <w:p w:rsidR="003A0614" w:rsidRPr="00945CCD" w:rsidRDefault="003A0614" w:rsidP="003A0614">
      <w:pPr>
        <w:numPr>
          <w:ilvl w:val="0"/>
          <w:numId w:val="5"/>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Установление (изменение) границ функциональных зон на отдельных участках проектируемой территории для обеспечения возможности последующего перевода планируемых к использованию земельных участков планируемых ветровых электрических станций в другую категорию.</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Задачи подготовки проекта внесения изменений:</w:t>
      </w:r>
    </w:p>
    <w:p w:rsidR="003A0614" w:rsidRPr="00945CCD" w:rsidRDefault="003A0614" w:rsidP="003A0614">
      <w:pPr>
        <w:numPr>
          <w:ilvl w:val="0"/>
          <w:numId w:val="5"/>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Реализация полномочий органов местного самоуправления муниципального образования в области градостроительной деятельности.</w:t>
      </w:r>
    </w:p>
    <w:p w:rsidR="003A0614" w:rsidRPr="00945CCD" w:rsidRDefault="003A0614" w:rsidP="003A0614">
      <w:pPr>
        <w:numPr>
          <w:ilvl w:val="0"/>
          <w:numId w:val="5"/>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Создание условий для эффективного использования земельных участков и реализация инвестиционного проекта по строительству ветровых электрических станций на территории поселения.</w:t>
      </w:r>
    </w:p>
    <w:p w:rsidR="003A0614" w:rsidRPr="00945CCD" w:rsidRDefault="003A0614" w:rsidP="003A0614">
      <w:pPr>
        <w:spacing w:after="0" w:line="240" w:lineRule="auto"/>
        <w:ind w:firstLine="708"/>
        <w:jc w:val="both"/>
        <w:rPr>
          <w:rFonts w:ascii="Times New Roman" w:hAnsi="Times New Roman" w:cs="Times New Roman"/>
          <w:spacing w:val="-10"/>
          <w:sz w:val="26"/>
          <w:szCs w:val="26"/>
        </w:rPr>
      </w:pPr>
      <w:r w:rsidRPr="00945CCD">
        <w:rPr>
          <w:rFonts w:ascii="Times New Roman" w:hAnsi="Times New Roman" w:cs="Times New Roman"/>
          <w:sz w:val="26"/>
          <w:szCs w:val="26"/>
          <w:lang w:eastAsia="ru-RU"/>
        </w:rPr>
        <w:t xml:space="preserve">Изменения вносятся в графическую часть утвержденного генерального плана, на основании Договора подряда и в соответствии с заданием на разработку проекта внесения изменений в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lastRenderedPageBreak/>
        <w:t xml:space="preserve">Настоящие изменения в действующий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муниципального образования Красноармейского муниципального района содержат в своем составе:</w:t>
      </w:r>
    </w:p>
    <w:p w:rsidR="003A0614" w:rsidRPr="00945CCD" w:rsidRDefault="003A0614" w:rsidP="003A0614">
      <w:pPr>
        <w:numPr>
          <w:ilvl w:val="0"/>
          <w:numId w:val="7"/>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Локальные изменения функционального зонирования на отдельных земельных участках вне границ населенных пунктов в целях более эффективного их использования и реализации инвестиционного проекта по строительству объектов ветровых электрических станций (ВЭС).</w:t>
      </w:r>
    </w:p>
    <w:p w:rsidR="003A0614" w:rsidRPr="00945CCD" w:rsidRDefault="003A0614" w:rsidP="003A0614">
      <w:pPr>
        <w:numPr>
          <w:ilvl w:val="0"/>
          <w:numId w:val="7"/>
        </w:numPr>
        <w:spacing w:after="0" w:line="240" w:lineRule="auto"/>
        <w:ind w:left="1418" w:hanging="567"/>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Уточнение отображения границ населенных пунктов </w:t>
      </w:r>
      <w:proofErr w:type="spellStart"/>
      <w:r w:rsidRPr="00945CCD">
        <w:rPr>
          <w:rFonts w:ascii="Times New Roman" w:hAnsi="Times New Roman" w:cs="Times New Roman"/>
          <w:sz w:val="26"/>
          <w:szCs w:val="26"/>
          <w:lang w:eastAsia="ru-RU"/>
        </w:rPr>
        <w:t>Мирошниковского</w:t>
      </w:r>
      <w:proofErr w:type="spellEnd"/>
      <w:r w:rsidRPr="00945CCD">
        <w:rPr>
          <w:rFonts w:ascii="Times New Roman" w:hAnsi="Times New Roman" w:cs="Times New Roman"/>
          <w:sz w:val="26"/>
          <w:szCs w:val="26"/>
          <w:lang w:eastAsia="ru-RU"/>
        </w:rPr>
        <w:t xml:space="preserve"> сельского поселения.</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Проект изменений выполнен в виде новой редакции соответствующих карт (схем) действующего генерального плана (наименование карт генерального плана в проекте приведено в соответствие с требованиями ст. 23 . Градостроительного кодекса РФ),</w:t>
      </w:r>
    </w:p>
    <w:p w:rsidR="003A0614" w:rsidRPr="00945CCD" w:rsidRDefault="003A0614" w:rsidP="003A0614">
      <w:pPr>
        <w:numPr>
          <w:ilvl w:val="0"/>
          <w:numId w:val="6"/>
        </w:numPr>
        <w:spacing w:after="0" w:line="240" w:lineRule="auto"/>
        <w:ind w:left="1418" w:hanging="720"/>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Карта границ населенных пунктов  М 1:20 000.</w:t>
      </w:r>
    </w:p>
    <w:p w:rsidR="003A0614" w:rsidRPr="00945CCD" w:rsidRDefault="003A0614" w:rsidP="003A0614">
      <w:pPr>
        <w:numPr>
          <w:ilvl w:val="0"/>
          <w:numId w:val="6"/>
        </w:numPr>
        <w:spacing w:after="0" w:line="240" w:lineRule="auto"/>
        <w:ind w:left="1418" w:hanging="720"/>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Карта функциональных зон М 1:20 000.;</w:t>
      </w:r>
    </w:p>
    <w:p w:rsidR="003A0614" w:rsidRPr="00945CCD" w:rsidRDefault="003A0614" w:rsidP="003A0614">
      <w:pPr>
        <w:numPr>
          <w:ilvl w:val="0"/>
          <w:numId w:val="6"/>
        </w:numPr>
        <w:spacing w:after="0" w:line="240" w:lineRule="auto"/>
        <w:ind w:left="1418" w:hanging="720"/>
        <w:jc w:val="both"/>
        <w:rPr>
          <w:rFonts w:ascii="Times New Roman" w:hAnsi="Times New Roman" w:cs="Times New Roman"/>
          <w:color w:val="FF0000"/>
          <w:sz w:val="26"/>
          <w:szCs w:val="26"/>
          <w:lang w:eastAsia="ru-RU"/>
        </w:rPr>
      </w:pPr>
      <w:r w:rsidRPr="00945CCD">
        <w:rPr>
          <w:rFonts w:ascii="Times New Roman" w:hAnsi="Times New Roman" w:cs="Times New Roman"/>
          <w:sz w:val="26"/>
          <w:szCs w:val="26"/>
          <w:lang w:eastAsia="ru-RU"/>
        </w:rPr>
        <w:t>Карта планируемого размещения объектов местного значения (сетей и объектов электроснабжения, газоснабжения, водоснабжения и водоотведения, теплоснабжения, связи)  М 1:20 000</w:t>
      </w:r>
    </w:p>
    <w:p w:rsidR="003A0614" w:rsidRPr="00945CCD" w:rsidRDefault="003A0614" w:rsidP="003A0614">
      <w:pPr>
        <w:spacing w:after="0" w:line="240" w:lineRule="auto"/>
        <w:ind w:left="141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И настоящей краткой пояснительной записки.</w:t>
      </w:r>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proofErr w:type="gramStart"/>
      <w:r w:rsidRPr="00945CCD">
        <w:rPr>
          <w:rFonts w:ascii="Times New Roman" w:hAnsi="Times New Roman" w:cs="Times New Roman"/>
          <w:sz w:val="26"/>
          <w:szCs w:val="26"/>
          <w:lang w:eastAsia="ru-RU"/>
        </w:rPr>
        <w:t>Особенностью, настоящего проекта изменений, является приведение отображения графической информации содержащийся на вышеуказанных картах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(Требования утверждены Приказом Минэкономразвития РФ от 9 января 2018 г. №10 «Об утверждении требований к описанию и отображению в документах территориального планирования объектов федерального значения, объектов</w:t>
      </w:r>
      <w:proofErr w:type="gramEnd"/>
      <w:r w:rsidRPr="00945CCD">
        <w:rPr>
          <w:rFonts w:ascii="Times New Roman" w:hAnsi="Times New Roman" w:cs="Times New Roman"/>
          <w:sz w:val="26"/>
          <w:szCs w:val="26"/>
          <w:lang w:eastAsia="ru-RU"/>
        </w:rPr>
        <w:t xml:space="preserve"> регионального значения, объектов местного значения и о признании утратившим силу приказа Минэкономразвития России от 7 декабря 2016г. №793»).</w:t>
      </w:r>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proofErr w:type="gramStart"/>
      <w:r w:rsidRPr="00945CCD">
        <w:rPr>
          <w:rFonts w:ascii="Times New Roman" w:hAnsi="Times New Roman" w:cs="Times New Roman"/>
          <w:sz w:val="26"/>
          <w:szCs w:val="26"/>
          <w:lang w:eastAsia="ru-RU"/>
        </w:rPr>
        <w:t>В рамках проекта изменений не выполняются работы: по приведению всех материалов генерального плана в соответствие с действующей редакцией Градостроительного кодекса (п.11, ст. 11, Федерального закона от 20.03.2011 N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 и вышеуказанного приказа Минэкономразвития РФ.</w:t>
      </w:r>
      <w:proofErr w:type="gramEnd"/>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r w:rsidRPr="00945CCD">
        <w:rPr>
          <w:rFonts w:ascii="Times New Roman" w:hAnsi="Times New Roman" w:cs="Times New Roman"/>
          <w:b/>
          <w:sz w:val="26"/>
          <w:szCs w:val="26"/>
          <w:lang w:eastAsia="ru-RU"/>
        </w:rPr>
        <w:t>Настоящий текст и графические материалы проекта изменений Генерального плана, представленные в данной пояснительной записке, рекомендуются для дальнейшей работы по обсуждению и утверждению проекта изменений органами местного самоуправления в соответствии со статьями 24, 25 Градостроительного кодекса Российской Федерации.</w:t>
      </w:r>
      <w:r w:rsidRPr="00945CCD">
        <w:rPr>
          <w:rFonts w:ascii="Times New Roman" w:hAnsi="Times New Roman" w:cs="Times New Roman"/>
          <w:sz w:val="26"/>
          <w:szCs w:val="26"/>
          <w:lang w:eastAsia="ru-RU"/>
        </w:rPr>
        <w:t xml:space="preserve">  </w:t>
      </w:r>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Новая редакция графических материалов генерального плана прилагается в бумажном и электронном виде.</w:t>
      </w:r>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 подготовке проекта изменений генерального плана использовались данные, предоставляемые администрацией Красноармейского муниципального района и Заказчиком.</w:t>
      </w:r>
    </w:p>
    <w:p w:rsidR="003A0614" w:rsidRPr="00945CCD" w:rsidRDefault="003A0614" w:rsidP="003A0614">
      <w:pPr>
        <w:spacing w:after="0" w:line="240" w:lineRule="auto"/>
        <w:ind w:firstLine="900"/>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Материалы, входящие в состав настоящего проекта, не содержат сведений, отнесённых законодательством к категории государственной тайны.</w:t>
      </w:r>
    </w:p>
    <w:p w:rsidR="003A0614" w:rsidRPr="00945CCD" w:rsidRDefault="003A0614" w:rsidP="003A0614">
      <w:pPr>
        <w:spacing w:after="0" w:line="240" w:lineRule="auto"/>
        <w:rPr>
          <w:rFonts w:ascii="Times New Roman" w:hAnsi="Times New Roman" w:cs="Times New Roman"/>
          <w:sz w:val="26"/>
          <w:szCs w:val="26"/>
        </w:rPr>
      </w:pPr>
    </w:p>
    <w:p w:rsidR="003A0614" w:rsidRPr="003A0614" w:rsidRDefault="003A0614" w:rsidP="003A0614">
      <w:pPr>
        <w:spacing w:after="0" w:line="240" w:lineRule="auto"/>
        <w:jc w:val="center"/>
        <w:rPr>
          <w:rFonts w:ascii="Times New Roman" w:hAnsi="Times New Roman" w:cs="Times New Roman"/>
          <w:b/>
          <w:sz w:val="26"/>
          <w:szCs w:val="26"/>
        </w:rPr>
      </w:pPr>
      <w:r w:rsidRPr="00945CCD">
        <w:rPr>
          <w:rFonts w:ascii="Times New Roman" w:hAnsi="Times New Roman" w:cs="Times New Roman"/>
          <w:b/>
          <w:sz w:val="26"/>
          <w:szCs w:val="26"/>
        </w:rPr>
        <w:t>ОБОСНОВАНИЕ ИЗМЕНЕНИЙ ГЕНЕРАЛЬНОГО ПЛАНА</w:t>
      </w:r>
    </w:p>
    <w:p w:rsidR="003A0614" w:rsidRPr="00945CCD" w:rsidRDefault="003A0614" w:rsidP="003A0614">
      <w:pPr>
        <w:spacing w:after="0" w:line="240" w:lineRule="auto"/>
        <w:rPr>
          <w:rFonts w:ascii="Times New Roman" w:hAnsi="Times New Roman" w:cs="Times New Roman"/>
          <w:sz w:val="26"/>
          <w:szCs w:val="26"/>
        </w:rPr>
      </w:pPr>
      <w:r w:rsidRPr="00945CCD">
        <w:rPr>
          <w:rFonts w:ascii="Times New Roman" w:hAnsi="Times New Roman" w:cs="Times New Roman"/>
          <w:sz w:val="26"/>
          <w:szCs w:val="26"/>
        </w:rPr>
        <w:t>1. ИЗМЕНЕНИЯ ГЕНЕРАЛЬНОГО ПЛАНА.</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lastRenderedPageBreak/>
        <w:t xml:space="preserve">Проект изменений касается только графической части генерального плана. В составе настоящего проекта изменений генерального плана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сельского поселения вносимые корректировки, возможно, разделить на несколько групп:</w:t>
      </w:r>
    </w:p>
    <w:p w:rsidR="003A0614" w:rsidRPr="00945CCD" w:rsidRDefault="003A0614" w:rsidP="003A0614">
      <w:pPr>
        <w:numPr>
          <w:ilvl w:val="0"/>
          <w:numId w:val="8"/>
        </w:numPr>
        <w:tabs>
          <w:tab w:val="left" w:pos="851"/>
        </w:tabs>
        <w:spacing w:after="0" w:line="240" w:lineRule="auto"/>
        <w:ind w:left="851" w:hanging="543"/>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Локальные изменения функционального зонирования на отдельных земельных участках необходимых для размещения в границах поселения объектов строительства ветровых электрических станций;</w:t>
      </w:r>
    </w:p>
    <w:p w:rsidR="003A0614" w:rsidRPr="00945CCD" w:rsidRDefault="003A0614" w:rsidP="003A0614">
      <w:pPr>
        <w:numPr>
          <w:ilvl w:val="0"/>
          <w:numId w:val="8"/>
        </w:numPr>
        <w:tabs>
          <w:tab w:val="left" w:pos="851"/>
        </w:tabs>
        <w:spacing w:after="0" w:line="240" w:lineRule="auto"/>
        <w:ind w:left="851" w:hanging="543"/>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Уточнение отображения границ населенных пунктов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сельского поселения</w:t>
      </w:r>
      <w:proofErr w:type="gramStart"/>
      <w:r w:rsidRPr="00945CCD">
        <w:rPr>
          <w:rFonts w:ascii="Times New Roman" w:hAnsi="Times New Roman" w:cs="Times New Roman"/>
          <w:sz w:val="26"/>
          <w:szCs w:val="26"/>
          <w:lang w:eastAsia="ru-RU"/>
        </w:rPr>
        <w:t>;.</w:t>
      </w:r>
      <w:proofErr w:type="gramEnd"/>
    </w:p>
    <w:p w:rsidR="003A0614" w:rsidRPr="00945CCD" w:rsidRDefault="003A0614" w:rsidP="003A0614">
      <w:pPr>
        <w:numPr>
          <w:ilvl w:val="0"/>
          <w:numId w:val="8"/>
        </w:numPr>
        <w:tabs>
          <w:tab w:val="left" w:pos="851"/>
        </w:tabs>
        <w:spacing w:after="0" w:line="240" w:lineRule="auto"/>
        <w:ind w:left="851" w:hanging="543"/>
        <w:jc w:val="both"/>
        <w:rPr>
          <w:rFonts w:ascii="Times New Roman" w:hAnsi="Times New Roman" w:cs="Times New Roman"/>
          <w:sz w:val="26"/>
          <w:szCs w:val="26"/>
          <w:lang w:eastAsia="ru-RU"/>
        </w:rPr>
      </w:pPr>
      <w:proofErr w:type="gramStart"/>
      <w:r w:rsidRPr="00945CCD">
        <w:rPr>
          <w:rFonts w:ascii="Times New Roman" w:hAnsi="Times New Roman" w:cs="Times New Roman"/>
          <w:sz w:val="26"/>
          <w:szCs w:val="26"/>
          <w:lang w:eastAsia="ru-RU"/>
        </w:rPr>
        <w:t>Изменения технического характера, в том числе связанные с выполнением новой редакции карт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(Требования утверждены Приказом Минэкономразвития РФ от 9 января 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w:t>
      </w:r>
      <w:proofErr w:type="gramEnd"/>
      <w:r w:rsidRPr="00945CCD">
        <w:rPr>
          <w:rFonts w:ascii="Times New Roman" w:hAnsi="Times New Roman" w:cs="Times New Roman"/>
          <w:sz w:val="26"/>
          <w:szCs w:val="26"/>
          <w:lang w:eastAsia="ru-RU"/>
        </w:rPr>
        <w:t xml:space="preserve"> значения, объектов местного значения и о признании утратившим силу приказа Минэкономразвития России от 7 декабря 2016г. №793»).</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Таким образом, при сохранении в картах в неизменном виде большей части графической информации действующего генерального плана, карты (схемы) в новой редакции из-за иного стандарта оформления полностью переработаны и имеют совершенно другой внешний вид. </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В действующих документах территориального планирования Российской Федерации и Саратовской области отсутствуют планируемые объекты федерального и регионального значения, предусмотренные к размещению в границах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сельского поселения. На этом основании в составе проекта не выполнялась Карта планируемого размещения объектов федерального и регионального значения.</w:t>
      </w:r>
    </w:p>
    <w:p w:rsidR="003A0614" w:rsidRPr="00945CCD" w:rsidRDefault="003A0614" w:rsidP="003A0614">
      <w:pPr>
        <w:spacing w:after="0" w:line="240" w:lineRule="auto"/>
        <w:rPr>
          <w:rFonts w:ascii="Times New Roman" w:hAnsi="Times New Roman" w:cs="Times New Roman"/>
          <w:sz w:val="26"/>
          <w:szCs w:val="26"/>
        </w:rPr>
      </w:pPr>
    </w:p>
    <w:p w:rsidR="003A0614" w:rsidRPr="00945CCD" w:rsidRDefault="003A0614" w:rsidP="003A0614">
      <w:pPr>
        <w:spacing w:after="0" w:line="240" w:lineRule="auto"/>
        <w:rPr>
          <w:rFonts w:ascii="Times New Roman" w:hAnsi="Times New Roman" w:cs="Times New Roman"/>
          <w:sz w:val="26"/>
          <w:szCs w:val="26"/>
        </w:rPr>
      </w:pPr>
      <w:r w:rsidRPr="00945CCD">
        <w:rPr>
          <w:rFonts w:ascii="Times New Roman" w:hAnsi="Times New Roman" w:cs="Times New Roman"/>
          <w:sz w:val="26"/>
          <w:szCs w:val="26"/>
        </w:rPr>
        <w:t>1.1. ЛОКАЛЬНЫЕ ИЗМЕНЕНИЯ ФУНКЦИОНАЛЬНОГО ЗОНИРОВАНИЯ НА ОТДЕЛЬНЫХ ЗЕМЕЛЬНЫХ УЧАСТКАХ.</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В целях создания условий для строительства объектов ветровых электрических станций подготовлены настоящие локальные изменения функционального зонирования отдельных земельных участков необходимых для размещения объектов ветровых электрических станций в границах сельского поселения.</w:t>
      </w:r>
    </w:p>
    <w:p w:rsidR="003A0614" w:rsidRPr="00945CCD" w:rsidRDefault="003A0614" w:rsidP="003A0614">
      <w:pPr>
        <w:spacing w:after="0" w:line="240" w:lineRule="auto"/>
        <w:ind w:firstLine="851"/>
        <w:jc w:val="both"/>
        <w:rPr>
          <w:rFonts w:ascii="Times New Roman" w:hAnsi="Times New Roman" w:cs="Times New Roman"/>
          <w:bCs/>
          <w:sz w:val="26"/>
          <w:szCs w:val="26"/>
          <w:highlight w:val="yellow"/>
          <w:lang w:eastAsia="ru-RU"/>
        </w:rPr>
      </w:pPr>
      <w:proofErr w:type="gramStart"/>
      <w:r w:rsidRPr="00945CCD">
        <w:rPr>
          <w:rFonts w:ascii="Times New Roman" w:hAnsi="Times New Roman" w:cs="Times New Roman"/>
          <w:bCs/>
          <w:sz w:val="26"/>
          <w:szCs w:val="26"/>
          <w:lang w:eastAsia="ru-RU"/>
        </w:rPr>
        <w:t xml:space="preserve">Изменения подготовлены в целях устойчивого развития территории </w:t>
      </w:r>
      <w:proofErr w:type="spellStart"/>
      <w:r w:rsidRPr="00945CCD">
        <w:rPr>
          <w:rFonts w:ascii="Times New Roman" w:hAnsi="Times New Roman" w:cs="Times New Roman"/>
          <w:bCs/>
          <w:sz w:val="26"/>
          <w:szCs w:val="26"/>
          <w:lang w:eastAsia="ru-RU"/>
        </w:rPr>
        <w:t>Высоковского</w:t>
      </w:r>
      <w:proofErr w:type="spellEnd"/>
      <w:r w:rsidRPr="00945CCD">
        <w:rPr>
          <w:rFonts w:ascii="Times New Roman" w:hAnsi="Times New Roman" w:cs="Times New Roman"/>
          <w:bCs/>
          <w:sz w:val="26"/>
          <w:szCs w:val="26"/>
          <w:lang w:eastAsia="ru-RU"/>
        </w:rPr>
        <w:t xml:space="preserve"> сельского поселения, в развитие действующих документов территориального планирования Саратовской области и Красноармейского муниципального района и направлены на более эффективное использование имеющихся земельных ресурсов сельского поселения.</w:t>
      </w:r>
      <w:proofErr w:type="gramEnd"/>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В действующем генеральном плане на территории сельского поселения расположенные за границами населенных пунктов, функциональное зонирование было обозначено как земли сельскохозяйственного использования. В проекте изменений на всю территория МО разработано функциональное зонирование, учитывающее существующие категории земель. Например, земли сельскохозяйственного назначения включены в границы функциональной зоны - «Зона сельскохозяйственного использования». Наименование функциональных зон и отнесение территорий поселения в границы тех или иных функциональных зон выполнено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(утверждены Приказом Минэкономразвития РФ от 9 января 2018 г. №10).</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lastRenderedPageBreak/>
        <w:t xml:space="preserve">Возвышенные территории </w:t>
      </w:r>
      <w:proofErr w:type="spellStart"/>
      <w:r w:rsidRPr="00945CCD">
        <w:rPr>
          <w:rFonts w:ascii="Times New Roman" w:hAnsi="Times New Roman" w:cs="Times New Roman"/>
          <w:bCs/>
          <w:sz w:val="26"/>
          <w:szCs w:val="26"/>
          <w:lang w:eastAsia="ru-RU"/>
        </w:rPr>
        <w:t>Высоковского</w:t>
      </w:r>
      <w:proofErr w:type="spellEnd"/>
      <w:r w:rsidRPr="00945CCD">
        <w:rPr>
          <w:rFonts w:ascii="Times New Roman" w:hAnsi="Times New Roman" w:cs="Times New Roman"/>
          <w:bCs/>
          <w:sz w:val="26"/>
          <w:szCs w:val="26"/>
          <w:lang w:eastAsia="ru-RU"/>
        </w:rPr>
        <w:t xml:space="preserve"> СП, расположенные на территории Приволжской возвышенности в южной части Саратовской области в целом благоприятны для размещения объектов ветроэнергетики, что подтверждается многолетними метеорологическими наблюдениями. </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На основе предварительно выполненного комплекса необходимых изысканий были определены наиболее благоприятные территории для размещения комплекса объектов ветроэнергетики в границах поселения. При планируемом размещении объектов ветроэнергетики не затрагиваются земли лесного фонда и ценные сельскохозяйственные угодья.</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Настоящим проектом меняется функциональное зонирование:</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1. Применительно к ограниченной территории, территория исключается из зоны сельскохозяйственного назначения и включается в границы функциональной зоны - «Производственные зоны»;</w:t>
      </w:r>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proofErr w:type="gramStart"/>
      <w:r w:rsidRPr="00945CCD">
        <w:rPr>
          <w:rFonts w:ascii="Times New Roman" w:hAnsi="Times New Roman" w:cs="Times New Roman"/>
          <w:bCs/>
          <w:sz w:val="26"/>
          <w:szCs w:val="26"/>
          <w:lang w:eastAsia="ru-RU"/>
        </w:rPr>
        <w:t xml:space="preserve">Вышеуказанные изменения функционального зонирования земельных участков направлено на подготовку необходимых оснований для последующего их перевода из категории земель «земли сельскохозяйственного назначения», в категорию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порядке, установленном действующим законодательством) для создания условий по  строительству объектов </w:t>
      </w:r>
      <w:proofErr w:type="spellStart"/>
      <w:r w:rsidRPr="00945CCD">
        <w:rPr>
          <w:rFonts w:ascii="Times New Roman" w:hAnsi="Times New Roman" w:cs="Times New Roman"/>
          <w:bCs/>
          <w:sz w:val="26"/>
          <w:szCs w:val="26"/>
          <w:lang w:eastAsia="ru-RU"/>
        </w:rPr>
        <w:t>Высоковской</w:t>
      </w:r>
      <w:proofErr w:type="spellEnd"/>
      <w:r w:rsidRPr="00945CCD">
        <w:rPr>
          <w:rFonts w:ascii="Times New Roman" w:hAnsi="Times New Roman" w:cs="Times New Roman"/>
          <w:bCs/>
          <w:sz w:val="26"/>
          <w:szCs w:val="26"/>
          <w:lang w:eastAsia="ru-RU"/>
        </w:rPr>
        <w:t xml:space="preserve"> ВЭС.</w:t>
      </w:r>
      <w:proofErr w:type="gramEnd"/>
    </w:p>
    <w:p w:rsidR="003A0614" w:rsidRPr="00945CCD" w:rsidRDefault="003A0614" w:rsidP="003A0614">
      <w:pPr>
        <w:spacing w:after="0" w:line="240" w:lineRule="auto"/>
        <w:ind w:firstLine="851"/>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Согласно предоставленным Администрацией Красноармейского муниципального района данным, в новых редакциях карты границ населенных пунктов и карты функциональных зон были отображены автомобильные дороги местного значения.</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В этой части изменения в генеральный план </w:t>
      </w:r>
      <w:proofErr w:type="spellStart"/>
      <w:r w:rsidRPr="00945CCD">
        <w:rPr>
          <w:rFonts w:ascii="Times New Roman" w:hAnsi="Times New Roman" w:cs="Times New Roman"/>
          <w:sz w:val="26"/>
          <w:szCs w:val="26"/>
          <w:lang w:eastAsia="ru-RU"/>
        </w:rPr>
        <w:t>Высоковского</w:t>
      </w:r>
      <w:proofErr w:type="spellEnd"/>
      <w:r w:rsidRPr="00945CCD">
        <w:rPr>
          <w:rFonts w:ascii="Times New Roman" w:hAnsi="Times New Roman" w:cs="Times New Roman"/>
          <w:sz w:val="26"/>
          <w:szCs w:val="26"/>
          <w:lang w:eastAsia="ru-RU"/>
        </w:rPr>
        <w:t xml:space="preserve"> СП подготовлены в развитие действующих документов территориального планирования Российской Федерации, Саратовской области и Красноармейского района. Изменения направлены на более эффективное использование имеющихся территорий МО, созданию и развитию в границах поселения новой высокотехнологичной отрасли энергетики, что в свою очередь будет способствовать удовлетворению спроса и регулирования цен на рынке электроэнергетики, а также будет способствовать созданию новых рабочих мест и поступлению дополнительных доходов в бюджеты различного уровня.</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bookmarkStart w:id="1" w:name="_Toc255030514"/>
      <w:bookmarkStart w:id="2" w:name="_Toc286049729"/>
      <w:bookmarkStart w:id="3" w:name="_Toc286644294"/>
      <w:bookmarkStart w:id="4" w:name="_Toc333571585"/>
      <w:bookmarkStart w:id="5" w:name="_Toc333576420"/>
      <w:bookmarkStart w:id="6" w:name="_Toc333577924"/>
      <w:bookmarkStart w:id="7" w:name="_Toc339456896"/>
      <w:bookmarkStart w:id="8" w:name="_Toc356545579"/>
      <w:bookmarkStart w:id="9" w:name="_Toc356546812"/>
      <w:bookmarkStart w:id="10" w:name="_Toc356547257"/>
      <w:bookmarkStart w:id="11" w:name="_Toc356547346"/>
      <w:bookmarkStart w:id="12" w:name="_Toc359319441"/>
      <w:bookmarkStart w:id="13" w:name="_Toc456771679"/>
      <w:bookmarkStart w:id="14" w:name="_Toc456771916"/>
      <w:bookmarkStart w:id="15" w:name="_Toc457202135"/>
      <w:bookmarkStart w:id="16" w:name="_Toc484770588"/>
      <w:r w:rsidRPr="00945CCD">
        <w:rPr>
          <w:rFonts w:ascii="Times New Roman" w:hAnsi="Times New Roman" w:cs="Times New Roman"/>
          <w:sz w:val="26"/>
          <w:szCs w:val="26"/>
          <w:lang w:eastAsia="ru-RU"/>
        </w:rPr>
        <w:t>Ветроэлектрическая станция (ВЭС) - электростанция, состоящая из нескольких ветроэнергетических установок, предназначенная для преобразования энергии ветра в электрическую энергию и передачу ее потребителю.</w:t>
      </w:r>
    </w:p>
    <w:p w:rsidR="003A0614" w:rsidRPr="00945CCD" w:rsidRDefault="003A0614" w:rsidP="003A0614">
      <w:pPr>
        <w:pStyle w:val="a9"/>
        <w:spacing w:after="0"/>
        <w:rPr>
          <w:sz w:val="26"/>
          <w:szCs w:val="26"/>
        </w:rPr>
      </w:pPr>
      <w:bookmarkStart w:id="17" w:name="_Toc484770595"/>
      <w:r w:rsidRPr="00945CCD">
        <w:rPr>
          <w:sz w:val="26"/>
          <w:szCs w:val="26"/>
        </w:rPr>
        <w:t>Основными сооружениями ВЭС являются ветроэнергетические установки (ВЭУ), трансформаторные подстанции КТП ВЭУ, автомобильные дороги</w:t>
      </w:r>
      <w:proofErr w:type="gramStart"/>
      <w:r w:rsidRPr="00945CCD">
        <w:rPr>
          <w:sz w:val="26"/>
          <w:szCs w:val="26"/>
        </w:rPr>
        <w:t xml:space="preserve"> .</w:t>
      </w:r>
      <w:proofErr w:type="gramEnd"/>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3A0614" w:rsidRPr="00945CCD" w:rsidRDefault="003A0614" w:rsidP="003A0614">
      <w:pPr>
        <w:pStyle w:val="a9"/>
        <w:spacing w:after="0"/>
        <w:rPr>
          <w:b/>
          <w:sz w:val="26"/>
          <w:szCs w:val="26"/>
        </w:rPr>
      </w:pPr>
      <w:r w:rsidRPr="00945CCD">
        <w:rPr>
          <w:b/>
          <w:sz w:val="26"/>
          <w:szCs w:val="26"/>
        </w:rPr>
        <w:t>Шумовое воздействие</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В соответствии с </w:t>
      </w:r>
      <w:proofErr w:type="spellStart"/>
      <w:r w:rsidRPr="00945CCD">
        <w:rPr>
          <w:rFonts w:ascii="Times New Roman" w:hAnsi="Times New Roman" w:cs="Times New Roman"/>
          <w:sz w:val="26"/>
          <w:szCs w:val="26"/>
          <w:lang w:eastAsia="ru-RU"/>
        </w:rPr>
        <w:t>СанПиН</w:t>
      </w:r>
      <w:proofErr w:type="spellEnd"/>
      <w:r w:rsidRPr="00945CCD">
        <w:rPr>
          <w:rFonts w:ascii="Times New Roman" w:hAnsi="Times New Roman" w:cs="Times New Roman"/>
          <w:sz w:val="26"/>
          <w:szCs w:val="26"/>
          <w:lang w:eastAsia="ru-RU"/>
        </w:rPr>
        <w:t xml:space="preserve"> 2.2.1/2.1.1.1200-03 «Санитарно-защитные зоны и санитарная классификация предприятий, сооружений и иных объектов»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w:t>
      </w:r>
      <w:proofErr w:type="gramStart"/>
      <w:r w:rsidRPr="00945CCD">
        <w:rPr>
          <w:rFonts w:ascii="Times New Roman" w:hAnsi="Times New Roman" w:cs="Times New Roman"/>
          <w:sz w:val="26"/>
          <w:szCs w:val="26"/>
          <w:lang w:eastAsia="ru-RU"/>
        </w:rPr>
        <w:t>количества</w:t>
      </w:r>
      <w:proofErr w:type="gramEnd"/>
      <w:r w:rsidRPr="00945CCD">
        <w:rPr>
          <w:rFonts w:ascii="Times New Roman" w:hAnsi="Times New Roman" w:cs="Times New Roman"/>
          <w:sz w:val="26"/>
          <w:szCs w:val="26"/>
          <w:lang w:eastAsia="ru-RU"/>
        </w:rPr>
        <w:t xml:space="preserve"> выделяемых в окружающую среду загрязняющих веществ, создаваемого шума, вибрации и других вредных физических факторов, устанавливаются ориентировочные размеры санитарно-защитных зон в соответствии с главой VII и приложениями 1-6 к санитарным правилам.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Для промышленных объектов и производств, не включенных в санитарную классификацию, размер санитарно-защитной зоны устанавливается в каждом конкретном случае в соответствии с расчетами ожидаемого загрязнения атмосферного воздуха и физического воздействия на атмосферный воздух.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lastRenderedPageBreak/>
        <w:t xml:space="preserve">Ветряные электростанции не включены в санитарную классификацию, поэтому ориентировочный размер санитарно-защитной зоны определен на основании расчетов шумового воздействия аналогичных проектов, которые прошли санитарно-эпидемиологическую экспертизу. </w:t>
      </w:r>
    </w:p>
    <w:p w:rsidR="003A0614" w:rsidRPr="00945CCD" w:rsidRDefault="003A0614" w:rsidP="003A0614">
      <w:pPr>
        <w:pStyle w:val="a9"/>
        <w:spacing w:after="0"/>
        <w:rPr>
          <w:b/>
          <w:color w:val="000000"/>
          <w:sz w:val="26"/>
          <w:szCs w:val="26"/>
        </w:rPr>
      </w:pPr>
      <w:r w:rsidRPr="00945CCD">
        <w:rPr>
          <w:b/>
          <w:bCs/>
          <w:color w:val="000000"/>
          <w:sz w:val="26"/>
          <w:szCs w:val="26"/>
        </w:rPr>
        <w:t xml:space="preserve">Вибрационное воздействие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В период эксплуатации ВЭС, источником вибрации являются движущиеся, части ВЭУ, а именно лопасти ротора. По подтвержденным на практике расчетам, конструкция ВЭУ не передает вибрации на окружающую территорию, при условии, что вес ее неподвижной части в 16, и более, раз превышает вес ее подвижной части. Вес вращающихся частей ВЭУ предполагаемых для установки на ВЭС составляет порядка 80 тонн, вес неподвижной части – комплекса фундамента ВЭУ – около 1600 тонн, т.е. вес неподвижной части больше чем в 18 раз превышает вес ее подвижной части. Таким образом, вибрация отдельных вращающихся элементов ВЭУ полностью </w:t>
      </w:r>
      <w:proofErr w:type="gramStart"/>
      <w:r w:rsidRPr="00945CCD">
        <w:rPr>
          <w:rFonts w:ascii="Times New Roman" w:hAnsi="Times New Roman" w:cs="Times New Roman"/>
          <w:sz w:val="26"/>
          <w:szCs w:val="26"/>
          <w:lang w:eastAsia="ru-RU"/>
        </w:rPr>
        <w:t>затухает на уровне несущего элемента основания и не</w:t>
      </w:r>
      <w:proofErr w:type="gramEnd"/>
      <w:r w:rsidRPr="00945CCD">
        <w:rPr>
          <w:rFonts w:ascii="Times New Roman" w:hAnsi="Times New Roman" w:cs="Times New Roman"/>
          <w:sz w:val="26"/>
          <w:szCs w:val="26"/>
          <w:lang w:eastAsia="ru-RU"/>
        </w:rPr>
        <w:t xml:space="preserve"> будет влиять на прилегающую площадь. </w:t>
      </w:r>
    </w:p>
    <w:p w:rsidR="003A0614" w:rsidRPr="00945CCD" w:rsidRDefault="003A0614" w:rsidP="003A0614">
      <w:pPr>
        <w:pStyle w:val="a9"/>
        <w:spacing w:after="0"/>
        <w:rPr>
          <w:color w:val="000000"/>
          <w:sz w:val="26"/>
          <w:szCs w:val="26"/>
        </w:rPr>
      </w:pPr>
      <w:r w:rsidRPr="00945CCD">
        <w:rPr>
          <w:b/>
          <w:bCs/>
          <w:color w:val="000000"/>
          <w:sz w:val="26"/>
          <w:szCs w:val="26"/>
        </w:rPr>
        <w:t xml:space="preserve">Электромагнитное воздействие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Снижение электромагнитных полей от ВЭУ достигается как за счет экранирования источников ЭМИ, так и за счет контурной системы заземления. Использование прямых гальванических контактов сведено до минимума, например, используются исключительно </w:t>
      </w:r>
      <w:proofErr w:type="spellStart"/>
      <w:r w:rsidRPr="00945CCD">
        <w:rPr>
          <w:rFonts w:ascii="Times New Roman" w:hAnsi="Times New Roman" w:cs="Times New Roman"/>
          <w:sz w:val="26"/>
          <w:szCs w:val="26"/>
          <w:lang w:eastAsia="ru-RU"/>
        </w:rPr>
        <w:t>бесщеточные</w:t>
      </w:r>
      <w:proofErr w:type="spellEnd"/>
      <w:r w:rsidRPr="00945CCD">
        <w:rPr>
          <w:rFonts w:ascii="Times New Roman" w:hAnsi="Times New Roman" w:cs="Times New Roman"/>
          <w:sz w:val="26"/>
          <w:szCs w:val="26"/>
          <w:lang w:eastAsia="ru-RU"/>
        </w:rPr>
        <w:t xml:space="preserve"> генераторы, применены регулирующие и отключающие устройства на базе тиристоров и IGBT-технологий. Таким способом ВЭУ защищают свою сложную электронику от нежелательного воздействия. </w:t>
      </w:r>
    </w:p>
    <w:p w:rsidR="003A0614" w:rsidRPr="00945CCD" w:rsidRDefault="003A0614" w:rsidP="003A0614">
      <w:pPr>
        <w:pStyle w:val="a9"/>
        <w:spacing w:after="0"/>
        <w:rPr>
          <w:b/>
          <w:sz w:val="26"/>
          <w:szCs w:val="26"/>
        </w:rPr>
      </w:pPr>
      <w:r w:rsidRPr="00945CCD">
        <w:rPr>
          <w:b/>
          <w:sz w:val="26"/>
          <w:szCs w:val="26"/>
        </w:rPr>
        <w:t>Воздействие на атмосферный воздух.</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 работе ВЭУ и передаче электроэнергии по кабельным линиям выделение загрязняющих веществ в окружающую среду не происходит. Следовательно, воздействие ВЭУ и кабельных линий на окружающую среду по фактору воздействия на атмосферный воздух не прогнозируется.</w:t>
      </w:r>
    </w:p>
    <w:p w:rsidR="003A0614" w:rsidRPr="00945CCD" w:rsidRDefault="003A0614" w:rsidP="003A0614">
      <w:pPr>
        <w:pStyle w:val="a9"/>
        <w:spacing w:after="0"/>
        <w:rPr>
          <w:b/>
          <w:sz w:val="26"/>
          <w:szCs w:val="26"/>
        </w:rPr>
      </w:pPr>
      <w:bookmarkStart w:id="18" w:name="_Toc508799713"/>
      <w:bookmarkStart w:id="19" w:name="_Toc513202767"/>
      <w:r w:rsidRPr="00945CCD">
        <w:rPr>
          <w:b/>
          <w:sz w:val="26"/>
          <w:szCs w:val="26"/>
        </w:rPr>
        <w:t>Воздействие инфразвуковых колебаний</w:t>
      </w:r>
      <w:bookmarkEnd w:id="18"/>
      <w:bookmarkEnd w:id="19"/>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Звуком называют механические колебания в упругих средах и телах, частоты которых лежат в пределах от 17…20 Гц до 20 000 Гц. Эти частоты механических колебаний способно воспринимать человеческое ухо. Механические колебания с частотами ниже 17 Гц называют инфразвуками.</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Нормируемыми параметрами постоянного инфразвука являются уровни звукового давления в октавных полосах со среднегеометрическими частотами 2, 4, 8 и 16 Гц. Современные турбины, расположенные ветроколесом «на ветер» (</w:t>
      </w:r>
      <w:proofErr w:type="spellStart"/>
      <w:r w:rsidRPr="00945CCD">
        <w:rPr>
          <w:rFonts w:ascii="Times New Roman" w:hAnsi="Times New Roman" w:cs="Times New Roman"/>
          <w:sz w:val="26"/>
          <w:szCs w:val="26"/>
          <w:lang w:eastAsia="ru-RU"/>
        </w:rPr>
        <w:t>up-wind</w:t>
      </w:r>
      <w:proofErr w:type="spellEnd"/>
      <w:r w:rsidRPr="00945CCD">
        <w:rPr>
          <w:rFonts w:ascii="Times New Roman" w:hAnsi="Times New Roman" w:cs="Times New Roman"/>
          <w:sz w:val="26"/>
          <w:szCs w:val="26"/>
          <w:lang w:eastAsia="ru-RU"/>
        </w:rPr>
        <w:t>) генерируют не очень мощный инфразвук, как правило, ниже порога восприятия.</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Таким образом, не требуется специальных мер по защите здоровья населения от инфразвуковых колебаний.</w:t>
      </w:r>
    </w:p>
    <w:p w:rsidR="003A0614" w:rsidRPr="00945CCD" w:rsidRDefault="003A0614" w:rsidP="003A0614">
      <w:pPr>
        <w:pStyle w:val="a9"/>
        <w:spacing w:after="0"/>
        <w:rPr>
          <w:b/>
          <w:sz w:val="26"/>
          <w:szCs w:val="26"/>
        </w:rPr>
      </w:pPr>
      <w:bookmarkStart w:id="20" w:name="_Toc508799715"/>
      <w:bookmarkStart w:id="21" w:name="_Toc513202769"/>
      <w:bookmarkStart w:id="22" w:name="_Toc484770615"/>
      <w:r w:rsidRPr="00945CCD">
        <w:rPr>
          <w:b/>
          <w:sz w:val="26"/>
          <w:szCs w:val="26"/>
        </w:rPr>
        <w:t>Воздействие ВЭС на животный и растительный мир</w:t>
      </w:r>
      <w:bookmarkEnd w:id="20"/>
      <w:bookmarkEnd w:id="21"/>
    </w:p>
    <w:p w:rsidR="003A0614" w:rsidRPr="00945CCD" w:rsidRDefault="003A0614" w:rsidP="003A0614">
      <w:pPr>
        <w:pStyle w:val="a9"/>
        <w:spacing w:after="0"/>
        <w:rPr>
          <w:b/>
          <w:sz w:val="26"/>
          <w:szCs w:val="26"/>
          <w:lang w:eastAsia="ru-RU"/>
        </w:rPr>
      </w:pPr>
      <w:bookmarkStart w:id="23" w:name="_Toc513202788"/>
      <w:r w:rsidRPr="00945CCD">
        <w:rPr>
          <w:b/>
          <w:sz w:val="26"/>
          <w:szCs w:val="26"/>
          <w:lang w:eastAsia="ru-RU"/>
        </w:rPr>
        <w:t>Животный мир</w:t>
      </w:r>
      <w:bookmarkEnd w:id="23"/>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Наибольшее количество вопросов вызывает воздействие </w:t>
      </w:r>
      <w:r w:rsidRPr="00945CCD">
        <w:rPr>
          <w:rFonts w:ascii="Times New Roman" w:hAnsi="Times New Roman" w:cs="Times New Roman"/>
          <w:bCs/>
          <w:sz w:val="26"/>
          <w:szCs w:val="26"/>
          <w:lang w:eastAsia="ru-RU"/>
        </w:rPr>
        <w:t>ветровых электрических станций</w:t>
      </w:r>
      <w:r w:rsidRPr="00945CCD">
        <w:rPr>
          <w:rFonts w:ascii="Times New Roman" w:hAnsi="Times New Roman" w:cs="Times New Roman"/>
          <w:sz w:val="26"/>
          <w:szCs w:val="26"/>
          <w:lang w:eastAsia="ru-RU"/>
        </w:rPr>
        <w:t xml:space="preserve"> на орнитофауну и рукокрылых. </w:t>
      </w:r>
      <w:proofErr w:type="gramStart"/>
      <w:r w:rsidRPr="00945CCD">
        <w:rPr>
          <w:rFonts w:ascii="Times New Roman" w:hAnsi="Times New Roman" w:cs="Times New Roman"/>
          <w:sz w:val="26"/>
          <w:szCs w:val="26"/>
          <w:lang w:eastAsia="ru-RU"/>
        </w:rPr>
        <w:t>Ветровые электростанции</w:t>
      </w:r>
      <w:proofErr w:type="gramEnd"/>
      <w:r w:rsidRPr="00945CCD">
        <w:rPr>
          <w:rFonts w:ascii="Times New Roman" w:hAnsi="Times New Roman" w:cs="Times New Roman"/>
          <w:sz w:val="26"/>
          <w:szCs w:val="26"/>
          <w:lang w:eastAsia="ru-RU"/>
        </w:rPr>
        <w:t>, как вертикальные структуры с движущимися элементами, представляют определенный риск для птиц и рукокрылых.</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В качестве основных факторов влияния на орнитофауну можно выделить: физическое столкновение с турбинами, лопастями и башнями, нарушение среды обитания, нарушение путей миграции птиц.</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Проектируемые площадки </w:t>
      </w:r>
      <w:proofErr w:type="spellStart"/>
      <w:r w:rsidRPr="00945CCD">
        <w:rPr>
          <w:rFonts w:ascii="Times New Roman" w:hAnsi="Times New Roman" w:cs="Times New Roman"/>
          <w:sz w:val="26"/>
          <w:szCs w:val="26"/>
          <w:lang w:eastAsia="ru-RU"/>
        </w:rPr>
        <w:t>ветроустановок</w:t>
      </w:r>
      <w:proofErr w:type="spellEnd"/>
      <w:r w:rsidRPr="00945CCD">
        <w:rPr>
          <w:rFonts w:ascii="Times New Roman" w:hAnsi="Times New Roman" w:cs="Times New Roman"/>
          <w:sz w:val="26"/>
          <w:szCs w:val="26"/>
          <w:lang w:eastAsia="ru-RU"/>
        </w:rPr>
        <w:t xml:space="preserve"> расположены небольшими группами на значительном расстоянии друг от друга в </w:t>
      </w:r>
      <w:proofErr w:type="spellStart"/>
      <w:r w:rsidRPr="00945CCD">
        <w:rPr>
          <w:rFonts w:ascii="Times New Roman" w:hAnsi="Times New Roman" w:cs="Times New Roman"/>
          <w:sz w:val="26"/>
          <w:szCs w:val="26"/>
          <w:lang w:eastAsia="ru-RU"/>
        </w:rPr>
        <w:t>антропогенно</w:t>
      </w:r>
      <w:proofErr w:type="spellEnd"/>
      <w:r w:rsidRPr="00945CCD">
        <w:rPr>
          <w:rFonts w:ascii="Times New Roman" w:hAnsi="Times New Roman" w:cs="Times New Roman"/>
          <w:sz w:val="26"/>
          <w:szCs w:val="26"/>
          <w:lang w:eastAsia="ru-RU"/>
        </w:rPr>
        <w:t xml:space="preserve"> трансформированной местности (обрабатываемые поля) на относительно небольшой площади. Высота ВЭУ – до 150 м.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lastRenderedPageBreak/>
        <w:t xml:space="preserve">На данной территории при массовых миграциях птицы не образуют узких коридоров, а летят </w:t>
      </w:r>
      <w:proofErr w:type="spellStart"/>
      <w:r w:rsidRPr="00945CCD">
        <w:rPr>
          <w:rFonts w:ascii="Times New Roman" w:hAnsi="Times New Roman" w:cs="Times New Roman"/>
          <w:sz w:val="26"/>
          <w:szCs w:val="26"/>
          <w:lang w:eastAsia="ru-RU"/>
        </w:rPr>
        <w:t>диспергированно</w:t>
      </w:r>
      <w:proofErr w:type="spellEnd"/>
      <w:r w:rsidRPr="00945CCD">
        <w:rPr>
          <w:rFonts w:ascii="Times New Roman" w:hAnsi="Times New Roman" w:cs="Times New Roman"/>
          <w:sz w:val="26"/>
          <w:szCs w:val="26"/>
          <w:lang w:eastAsia="ru-RU"/>
        </w:rPr>
        <w:t xml:space="preserve"> широким фронтом. Крупные виды летят примерно на высоте 1…2 тыс. м, средние и мелкие - около 500…1000 м. Исследования показывают, что птицы при нормальных условиях облетают работающие ветроэнергетические установки.</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Во избежание случаев гибели птиц, проектными решениями необходимо предусмотреть установку на эксплуатируемых ВЭУ акустических маяков, отпугивающих птиц.</w:t>
      </w:r>
    </w:p>
    <w:p w:rsidR="003A0614" w:rsidRPr="00945CCD" w:rsidRDefault="003A0614" w:rsidP="003A0614">
      <w:pPr>
        <w:spacing w:after="0" w:line="240" w:lineRule="auto"/>
        <w:ind w:firstLine="708"/>
        <w:jc w:val="both"/>
        <w:rPr>
          <w:rFonts w:ascii="Times New Roman" w:eastAsia="Times New Roman" w:hAnsi="Times New Roman" w:cs="Times New Roman"/>
          <w:sz w:val="26"/>
          <w:szCs w:val="26"/>
          <w:lang w:eastAsia="ru-RU"/>
        </w:rPr>
      </w:pPr>
      <w:r w:rsidRPr="00945CCD">
        <w:rPr>
          <w:rFonts w:ascii="Times New Roman" w:hAnsi="Times New Roman" w:cs="Times New Roman"/>
          <w:sz w:val="26"/>
          <w:szCs w:val="26"/>
          <w:lang w:eastAsia="ru-RU"/>
        </w:rPr>
        <w:t xml:space="preserve">На основании вышесказанного можно предположить, что эксплуатация </w:t>
      </w:r>
      <w:proofErr w:type="spellStart"/>
      <w:r w:rsidRPr="00945CCD">
        <w:rPr>
          <w:rFonts w:ascii="Times New Roman" w:hAnsi="Times New Roman" w:cs="Times New Roman"/>
          <w:sz w:val="26"/>
          <w:szCs w:val="26"/>
          <w:lang w:eastAsia="ru-RU"/>
        </w:rPr>
        <w:t>ветроустановок</w:t>
      </w:r>
      <w:proofErr w:type="spellEnd"/>
      <w:r w:rsidRPr="00945CCD">
        <w:rPr>
          <w:rFonts w:ascii="Times New Roman" w:hAnsi="Times New Roman" w:cs="Times New Roman"/>
          <w:sz w:val="26"/>
          <w:szCs w:val="26"/>
          <w:lang w:eastAsia="ru-RU"/>
        </w:rPr>
        <w:t xml:space="preserve"> не нанесет значительного ущерба орнитофауне и рукокрылым.</w:t>
      </w:r>
    </w:p>
    <w:p w:rsidR="003A0614" w:rsidRPr="00945CCD" w:rsidRDefault="003A0614" w:rsidP="003A0614">
      <w:pPr>
        <w:pStyle w:val="a9"/>
        <w:spacing w:after="0"/>
        <w:rPr>
          <w:rFonts w:eastAsia="TimesNewRoman"/>
          <w:b/>
          <w:bCs/>
          <w:sz w:val="26"/>
          <w:szCs w:val="26"/>
        </w:rPr>
      </w:pPr>
      <w:r w:rsidRPr="00945CCD">
        <w:rPr>
          <w:rFonts w:eastAsia="TimesNewRoman"/>
          <w:b/>
          <w:bCs/>
          <w:sz w:val="26"/>
          <w:szCs w:val="26"/>
        </w:rPr>
        <w:t>Растительный мир</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По последним исследованиям работа </w:t>
      </w:r>
      <w:proofErr w:type="spellStart"/>
      <w:r w:rsidRPr="00945CCD">
        <w:rPr>
          <w:rFonts w:ascii="Times New Roman" w:hAnsi="Times New Roman" w:cs="Times New Roman"/>
          <w:sz w:val="26"/>
          <w:szCs w:val="26"/>
          <w:lang w:eastAsia="ru-RU"/>
        </w:rPr>
        <w:t>ветрогенераторов</w:t>
      </w:r>
      <w:proofErr w:type="spellEnd"/>
      <w:r w:rsidRPr="00945CCD">
        <w:rPr>
          <w:rFonts w:ascii="Times New Roman" w:hAnsi="Times New Roman" w:cs="Times New Roman"/>
          <w:sz w:val="26"/>
          <w:szCs w:val="26"/>
          <w:lang w:eastAsia="ru-RU"/>
        </w:rPr>
        <w:t xml:space="preserve"> может способствовать увеличению урожая зерновых культур и сои. Согласно результатам, в непосредственной близости от ВЭУ наблюдается улучшение вывода углекислого газа из почвы, что в свою очередь способствует фотосинтезу и росту зерновых культур и сои. «Турбулентный поток, создаваемый ВЭУ, может ускорить естественные обменные процессы между хлебными злаками и приземным слоем атмосферы, а также может помочь высушить росу, которая появляется на растениях во второй половине дня, уменьшая вероятность их поражения грибковыми заболеваниями. Более того, сухие зерновые культуры позволяют фермерам уменьшить стоимость сушки зерна после сбора урожая».</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Последние исследования не только не подтверждают отрицательное влияние работы ВЭУ на растительность, а, наоборот, отмечают возможное положительное воздействие ВЭУ на сельскохозяйственные культуры.</w:t>
      </w:r>
      <w:bookmarkStart w:id="24" w:name="_Toc508799716"/>
      <w:bookmarkStart w:id="25" w:name="_Toc513202770"/>
    </w:p>
    <w:p w:rsidR="003A0614" w:rsidRPr="00945CCD" w:rsidRDefault="003A0614" w:rsidP="003A0614">
      <w:pPr>
        <w:pStyle w:val="a9"/>
        <w:spacing w:after="0"/>
        <w:rPr>
          <w:b/>
          <w:sz w:val="26"/>
          <w:szCs w:val="26"/>
        </w:rPr>
      </w:pPr>
      <w:r w:rsidRPr="00945CCD">
        <w:rPr>
          <w:b/>
          <w:sz w:val="26"/>
          <w:szCs w:val="26"/>
        </w:rPr>
        <w:t>Воздействие на почвенный покров</w:t>
      </w:r>
      <w:bookmarkEnd w:id="24"/>
      <w:bookmarkEnd w:id="25"/>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Особенностью землепользования при строительстве ВЭС является то обстоятельство, что турбины занимают только 1 % от всей территории ветряной фермы. 99 % территории может быть занято под сельское хозяйство или для осуществления других видов деятельности.</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Фундамент </w:t>
      </w:r>
      <w:proofErr w:type="spellStart"/>
      <w:r w:rsidRPr="00945CCD">
        <w:rPr>
          <w:rFonts w:ascii="Times New Roman" w:hAnsi="Times New Roman" w:cs="Times New Roman"/>
          <w:sz w:val="26"/>
          <w:szCs w:val="26"/>
          <w:lang w:eastAsia="ru-RU"/>
        </w:rPr>
        <w:t>ветроустановки</w:t>
      </w:r>
      <w:proofErr w:type="spellEnd"/>
      <w:r w:rsidRPr="00945CCD">
        <w:rPr>
          <w:rFonts w:ascii="Times New Roman" w:hAnsi="Times New Roman" w:cs="Times New Roman"/>
          <w:sz w:val="26"/>
          <w:szCs w:val="26"/>
          <w:lang w:eastAsia="ru-RU"/>
        </w:rPr>
        <w:t xml:space="preserve"> обычно полностью находится под землей, позволяя расширить сельскохозяйственное использование земли практически до самого основания башни.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 эксплуатации ВЭС изменение качества прилежащих земельных участков не произойдет, вследствие отсутствия влияния протекающих технологических процессов на почвообразующие факторы, кислотно-щелочные условия почв, их микроэлементный состав, механиче</w:t>
      </w:r>
      <w:r>
        <w:rPr>
          <w:sz w:val="26"/>
          <w:szCs w:val="26"/>
          <w:lang w:eastAsia="ru-RU"/>
        </w:rPr>
        <w:t>ские свойства и режим влажности.</w:t>
      </w:r>
    </w:p>
    <w:p w:rsidR="003A0614" w:rsidRPr="00945CCD" w:rsidRDefault="003A0614" w:rsidP="003A0614">
      <w:pPr>
        <w:pStyle w:val="a9"/>
        <w:spacing w:after="0"/>
        <w:rPr>
          <w:b/>
          <w:sz w:val="26"/>
          <w:szCs w:val="26"/>
        </w:rPr>
      </w:pPr>
      <w:bookmarkStart w:id="26" w:name="_Toc508799717"/>
      <w:bookmarkStart w:id="27" w:name="_Toc513202771"/>
      <w:r w:rsidRPr="00945CCD">
        <w:rPr>
          <w:b/>
          <w:sz w:val="26"/>
          <w:szCs w:val="26"/>
        </w:rPr>
        <w:t>Прогнозируемое воздействие на гидрогеологическую среду</w:t>
      </w:r>
      <w:bookmarkEnd w:id="26"/>
      <w:bookmarkEnd w:id="27"/>
    </w:p>
    <w:p w:rsidR="003A0614"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Изменение режима питания и разгрузки грунтовых вод при эксплуатации объекта не прогнозируется вследствие того, что при эксплуатации ВЭУ вода в технологических целях не используется. </w:t>
      </w:r>
      <w:bookmarkEnd w:id="22"/>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Таким образом, оценка возможного влияния строительства </w:t>
      </w:r>
      <w:proofErr w:type="spellStart"/>
      <w:r w:rsidRPr="00945CCD">
        <w:rPr>
          <w:rFonts w:ascii="Times New Roman" w:hAnsi="Times New Roman" w:cs="Times New Roman"/>
          <w:sz w:val="26"/>
          <w:szCs w:val="26"/>
          <w:lang w:eastAsia="ru-RU"/>
        </w:rPr>
        <w:t>Мирошниковской</w:t>
      </w:r>
      <w:proofErr w:type="spellEnd"/>
      <w:r w:rsidRPr="00945CCD">
        <w:rPr>
          <w:rFonts w:ascii="Times New Roman" w:hAnsi="Times New Roman" w:cs="Times New Roman"/>
          <w:sz w:val="26"/>
          <w:szCs w:val="26"/>
          <w:lang w:eastAsia="ru-RU"/>
        </w:rPr>
        <w:t xml:space="preserve"> ВЭС на окружающую природную среду показала, что с учетом осуществления намечаемых природоохранных мероприятий, негативное воздействие на окружающую среду и здоровье человека исключается.</w:t>
      </w:r>
    </w:p>
    <w:p w:rsidR="003A0614" w:rsidRPr="00945CCD" w:rsidRDefault="003A0614" w:rsidP="003A0614">
      <w:pPr>
        <w:spacing w:after="0" w:line="240" w:lineRule="auto"/>
        <w:ind w:firstLine="709"/>
        <w:jc w:val="both"/>
        <w:rPr>
          <w:rFonts w:ascii="Times New Roman" w:hAnsi="Times New Roman" w:cs="Times New Roman"/>
          <w:bCs/>
          <w:sz w:val="26"/>
          <w:szCs w:val="26"/>
          <w:lang w:eastAsia="ru-RU"/>
        </w:rPr>
      </w:pPr>
      <w:r w:rsidRPr="00945CCD">
        <w:rPr>
          <w:rFonts w:ascii="Times New Roman" w:hAnsi="Times New Roman" w:cs="Times New Roman"/>
          <w:bCs/>
          <w:sz w:val="26"/>
          <w:szCs w:val="26"/>
          <w:lang w:eastAsia="ru-RU"/>
        </w:rPr>
        <w:t xml:space="preserve">На территории строительства экологически опасные для природной среды и здоровья населения отходы не образуются. </w:t>
      </w:r>
    </w:p>
    <w:p w:rsidR="003A0614" w:rsidRPr="00945CCD" w:rsidRDefault="003A0614" w:rsidP="003A0614">
      <w:pPr>
        <w:spacing w:after="0" w:line="240" w:lineRule="auto"/>
        <w:ind w:firstLine="709"/>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По окончанию строительства проводится рекультивация нарушенных земель.</w:t>
      </w:r>
    </w:p>
    <w:p w:rsidR="003A0614" w:rsidRPr="00945CCD" w:rsidRDefault="003A0614" w:rsidP="003A0614">
      <w:pPr>
        <w:spacing w:after="0" w:line="240" w:lineRule="auto"/>
        <w:ind w:firstLine="709"/>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Эксплуатация проектируемых объектов не повлияет на экологическую обстановку района. А организация экологического мониторинга позволит оперативно принимать управляющие решения для снятия негативных экологических проблем.</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Ветроэлектрическая станция представляет собой набор из нескольких десятков ветроэнергетических установок (ВЭУ), удаленных на расстояние от 600 м друг от </w:t>
      </w:r>
      <w:r w:rsidRPr="00945CCD">
        <w:rPr>
          <w:rFonts w:ascii="Times New Roman" w:hAnsi="Times New Roman" w:cs="Times New Roman"/>
          <w:sz w:val="26"/>
          <w:szCs w:val="26"/>
          <w:lang w:eastAsia="ru-RU"/>
        </w:rPr>
        <w:lastRenderedPageBreak/>
        <w:t>друга. ВЭУ представляет собой гондолу с лопастями, диаметром окружности до 100 м, установленную на опорную башню высотой до 135 м, которые последовательно соединены кабельными линиями электропередачи напряжением 10-35 кВ с трансформаторной подстанцией 10-35/110 кВ, которая в свою очередь, посредством ЛЭП 110 кВ технологически присоединяется к внешней электрической сети. Эти объекты в совокупности создают сложную и неделимую вещь, обладающую всеми признаками линейного объекта.</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 xml:space="preserve">Строительство </w:t>
      </w:r>
      <w:proofErr w:type="spellStart"/>
      <w:r w:rsidRPr="00945CCD">
        <w:rPr>
          <w:rFonts w:ascii="Times New Roman" w:hAnsi="Times New Roman" w:cs="Times New Roman"/>
          <w:sz w:val="26"/>
          <w:szCs w:val="26"/>
          <w:lang w:eastAsia="ru-RU"/>
        </w:rPr>
        <w:t>мегаватных</w:t>
      </w:r>
      <w:proofErr w:type="spellEnd"/>
      <w:r w:rsidRPr="00945CCD">
        <w:rPr>
          <w:rFonts w:ascii="Times New Roman" w:hAnsi="Times New Roman" w:cs="Times New Roman"/>
          <w:sz w:val="26"/>
          <w:szCs w:val="26"/>
          <w:lang w:eastAsia="ru-RU"/>
        </w:rPr>
        <w:t xml:space="preserve"> ВЭС является новым направлением в энергетики России. Для таких объектов в Санитарных нормах и правилах отсутствуют рекомендованные размеры санитарно-защитных зон (далее по тексту СЗЗ). Для определения размера СЗЗ ВЭС необходимо выполнить расчет физического воздействия на атмосферу. Так как на данном этапе выполнить точный расчет не представляется возможным, в проекте отображены предварительные СЗЗ объектов ВЭС заимствованные из аналогичных проектов, которые прошли санитарно-эпидемиологическую экспертизу. </w:t>
      </w:r>
    </w:p>
    <w:p w:rsidR="003A0614" w:rsidRPr="00945CCD" w:rsidRDefault="003A0614" w:rsidP="003A0614">
      <w:pPr>
        <w:spacing w:after="0" w:line="240" w:lineRule="auto"/>
        <w:ind w:firstLine="708"/>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При эксплуатации объектов  ВЭС выброс вредных веществ отсутствует.</w:t>
      </w:r>
    </w:p>
    <w:p w:rsidR="003A0614" w:rsidRPr="003A0614" w:rsidRDefault="003A0614" w:rsidP="003A0614">
      <w:pPr>
        <w:spacing w:after="0" w:line="240" w:lineRule="auto"/>
        <w:jc w:val="center"/>
        <w:rPr>
          <w:rFonts w:ascii="Times New Roman" w:hAnsi="Times New Roman" w:cs="Times New Roman"/>
          <w:b/>
          <w:sz w:val="26"/>
          <w:szCs w:val="26"/>
        </w:rPr>
      </w:pPr>
      <w:r w:rsidRPr="00945CCD">
        <w:rPr>
          <w:rFonts w:ascii="Times New Roman" w:hAnsi="Times New Roman" w:cs="Times New Roman"/>
          <w:b/>
          <w:sz w:val="26"/>
          <w:szCs w:val="26"/>
        </w:rPr>
        <w:t>ИЗМЕНЕНИЯ ТЕХНИЧЕСКОГО ХАРАКТЕРА</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proofErr w:type="gramStart"/>
      <w:r w:rsidRPr="00945CCD">
        <w:rPr>
          <w:rFonts w:ascii="Times New Roman" w:hAnsi="Times New Roman" w:cs="Times New Roman"/>
          <w:sz w:val="26"/>
          <w:szCs w:val="26"/>
          <w:lang w:eastAsia="ru-RU"/>
        </w:rPr>
        <w:t>Основные изменения технического характера связаны с выполнением новой редакции карт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(Требования утверждены Приказом Минэкономразвития РФ от 9 января 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w:t>
      </w:r>
      <w:proofErr w:type="gramEnd"/>
      <w:r w:rsidRPr="00945CCD">
        <w:rPr>
          <w:rFonts w:ascii="Times New Roman" w:hAnsi="Times New Roman" w:cs="Times New Roman"/>
          <w:sz w:val="26"/>
          <w:szCs w:val="26"/>
          <w:lang w:eastAsia="ru-RU"/>
        </w:rPr>
        <w:t xml:space="preserve"> местного значения и о признании утратившим силу приказа Минэкономразвития России от 7 декабря 2016г. №793»).</w:t>
      </w:r>
    </w:p>
    <w:p w:rsidR="003A0614" w:rsidRPr="00945CCD" w:rsidRDefault="003A0614" w:rsidP="003A0614">
      <w:pPr>
        <w:spacing w:after="0" w:line="240" w:lineRule="auto"/>
        <w:ind w:firstLine="851"/>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В соответствии с вышеуказанными требованиями выполнена новая редакция следующих карт:</w:t>
      </w:r>
    </w:p>
    <w:p w:rsidR="003A0614" w:rsidRPr="00945CCD" w:rsidRDefault="003A0614" w:rsidP="003A0614">
      <w:pPr>
        <w:numPr>
          <w:ilvl w:val="0"/>
          <w:numId w:val="9"/>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Карта функциональных зон. М 1:20 000;</w:t>
      </w:r>
    </w:p>
    <w:p w:rsidR="003A0614" w:rsidRPr="00945CCD" w:rsidRDefault="003A0614" w:rsidP="003A0614">
      <w:pPr>
        <w:numPr>
          <w:ilvl w:val="0"/>
          <w:numId w:val="9"/>
        </w:numPr>
        <w:spacing w:after="0" w:line="240" w:lineRule="auto"/>
        <w:jc w:val="both"/>
        <w:rPr>
          <w:rFonts w:ascii="Times New Roman" w:hAnsi="Times New Roman" w:cs="Times New Roman"/>
          <w:sz w:val="26"/>
          <w:szCs w:val="26"/>
          <w:lang w:eastAsia="ru-RU"/>
        </w:rPr>
      </w:pPr>
      <w:r w:rsidRPr="00945CCD">
        <w:rPr>
          <w:rFonts w:ascii="Times New Roman" w:hAnsi="Times New Roman" w:cs="Times New Roman"/>
          <w:sz w:val="26"/>
          <w:szCs w:val="26"/>
          <w:lang w:eastAsia="ru-RU"/>
        </w:rPr>
        <w:t>Карта границ населенных пунктов. М 1:20 000;</w:t>
      </w:r>
    </w:p>
    <w:p w:rsidR="003A0614" w:rsidRPr="00945CCD" w:rsidRDefault="003A0614" w:rsidP="003A0614">
      <w:pPr>
        <w:numPr>
          <w:ilvl w:val="0"/>
          <w:numId w:val="9"/>
        </w:numPr>
        <w:spacing w:after="0" w:line="240" w:lineRule="auto"/>
        <w:jc w:val="both"/>
        <w:rPr>
          <w:rFonts w:ascii="Times New Roman" w:hAnsi="Times New Roman" w:cs="Times New Roman"/>
          <w:color w:val="FF0000"/>
          <w:sz w:val="26"/>
          <w:szCs w:val="26"/>
          <w:lang w:eastAsia="ru-RU"/>
        </w:rPr>
      </w:pPr>
      <w:r w:rsidRPr="00945CCD">
        <w:rPr>
          <w:rFonts w:ascii="Times New Roman" w:hAnsi="Times New Roman" w:cs="Times New Roman"/>
          <w:sz w:val="26"/>
          <w:szCs w:val="26"/>
          <w:lang w:eastAsia="ru-RU"/>
        </w:rPr>
        <w:t>Карта планируемого размещения объектов местного значения (сетей и объектов электроснабжения, газоснабжения, водоснабжения и водоотведения, теплоснабжения, связи)  М 1:20 000;</w:t>
      </w:r>
    </w:p>
    <w:p w:rsidR="003A0614" w:rsidRPr="00945CCD" w:rsidRDefault="003A0614" w:rsidP="003A0614">
      <w:pPr>
        <w:spacing w:after="0" w:line="240" w:lineRule="auto"/>
        <w:ind w:left="1571"/>
        <w:jc w:val="both"/>
        <w:rPr>
          <w:rFonts w:ascii="Times New Roman" w:hAnsi="Times New Roman" w:cs="Times New Roman"/>
          <w:sz w:val="26"/>
          <w:szCs w:val="26"/>
          <w:lang w:eastAsia="ru-RU"/>
        </w:rPr>
      </w:pPr>
    </w:p>
    <w:p w:rsidR="003A0614" w:rsidRPr="00945CCD" w:rsidRDefault="003A0614" w:rsidP="003A0614">
      <w:pPr>
        <w:spacing w:after="0" w:line="240" w:lineRule="auto"/>
        <w:rPr>
          <w:rFonts w:ascii="Times New Roman" w:hAnsi="Times New Roman" w:cs="Times New Roman"/>
          <w:sz w:val="26"/>
          <w:szCs w:val="26"/>
        </w:rPr>
      </w:pPr>
    </w:p>
    <w:sectPr w:rsidR="003A0614" w:rsidRPr="00945CCD" w:rsidSect="003A0614">
      <w:pgSz w:w="11906" w:h="16838"/>
      <w:pgMar w:top="568"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1FFD59F4"/>
    <w:multiLevelType w:val="hybridMultilevel"/>
    <w:tmpl w:val="70A88078"/>
    <w:lvl w:ilvl="0" w:tplc="04190001">
      <w:start w:val="1"/>
      <w:numFmt w:val="bullet"/>
      <w:lvlText w:val=""/>
      <w:lvlJc w:val="left"/>
      <w:pPr>
        <w:ind w:left="502" w:hanging="360"/>
      </w:pPr>
      <w:rPr>
        <w:rFonts w:ascii="Symbol" w:hAnsi="Symbol"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
    <w:nsid w:val="34D17066"/>
    <w:multiLevelType w:val="hybridMultilevel"/>
    <w:tmpl w:val="6EA42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4338D0"/>
    <w:multiLevelType w:val="hybridMultilevel"/>
    <w:tmpl w:val="95D6E16A"/>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
    <w:nsid w:val="4CF76622"/>
    <w:multiLevelType w:val="multilevel"/>
    <w:tmpl w:val="7200E050"/>
    <w:lvl w:ilvl="0">
      <w:start w:val="1"/>
      <w:numFmt w:val="decimal"/>
      <w:lvlText w:val="%1."/>
      <w:lvlJc w:val="left"/>
      <w:pPr>
        <w:ind w:left="1571" w:hanging="360"/>
      </w:pPr>
      <w:rPr>
        <w:rFonts w:cs="Times New Roman"/>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345" w:hanging="720"/>
      </w:pPr>
      <w:rPr>
        <w:rFonts w:cs="Times New Roman" w:hint="default"/>
      </w:rPr>
    </w:lvl>
    <w:lvl w:ilvl="3">
      <w:start w:val="1"/>
      <w:numFmt w:val="decimal"/>
      <w:isLgl/>
      <w:lvlText w:val="%1.%2.%3.%4."/>
      <w:lvlJc w:val="left"/>
      <w:pPr>
        <w:ind w:left="2912" w:hanging="1080"/>
      </w:pPr>
      <w:rPr>
        <w:rFonts w:cs="Times New Roman" w:hint="default"/>
      </w:rPr>
    </w:lvl>
    <w:lvl w:ilvl="4">
      <w:start w:val="1"/>
      <w:numFmt w:val="decimal"/>
      <w:isLgl/>
      <w:lvlText w:val="%1.%2.%3.%4.%5."/>
      <w:lvlJc w:val="left"/>
      <w:pPr>
        <w:ind w:left="3119" w:hanging="1080"/>
      </w:pPr>
      <w:rPr>
        <w:rFonts w:cs="Times New Roman" w:hint="default"/>
      </w:rPr>
    </w:lvl>
    <w:lvl w:ilvl="5">
      <w:start w:val="1"/>
      <w:numFmt w:val="decimal"/>
      <w:isLgl/>
      <w:lvlText w:val="%1.%2.%3.%4.%5.%6."/>
      <w:lvlJc w:val="left"/>
      <w:pPr>
        <w:ind w:left="3686" w:hanging="1440"/>
      </w:pPr>
      <w:rPr>
        <w:rFonts w:cs="Times New Roman" w:hint="default"/>
      </w:rPr>
    </w:lvl>
    <w:lvl w:ilvl="6">
      <w:start w:val="1"/>
      <w:numFmt w:val="decimal"/>
      <w:isLgl/>
      <w:lvlText w:val="%1.%2.%3.%4.%5.%6.%7."/>
      <w:lvlJc w:val="left"/>
      <w:pPr>
        <w:ind w:left="3893" w:hanging="1440"/>
      </w:pPr>
      <w:rPr>
        <w:rFonts w:cs="Times New Roman" w:hint="default"/>
      </w:rPr>
    </w:lvl>
    <w:lvl w:ilvl="7">
      <w:start w:val="1"/>
      <w:numFmt w:val="decimal"/>
      <w:isLgl/>
      <w:lvlText w:val="%1.%2.%3.%4.%5.%6.%7.%8."/>
      <w:lvlJc w:val="left"/>
      <w:pPr>
        <w:ind w:left="4460" w:hanging="1800"/>
      </w:pPr>
      <w:rPr>
        <w:rFonts w:cs="Times New Roman" w:hint="default"/>
      </w:rPr>
    </w:lvl>
    <w:lvl w:ilvl="8">
      <w:start w:val="1"/>
      <w:numFmt w:val="decimal"/>
      <w:isLgl/>
      <w:lvlText w:val="%1.%2.%3.%4.%5.%6.%7.%8.%9."/>
      <w:lvlJc w:val="left"/>
      <w:pPr>
        <w:ind w:left="4667" w:hanging="1800"/>
      </w:pPr>
      <w:rPr>
        <w:rFonts w:cs="Times New Roman" w:hint="default"/>
      </w:rPr>
    </w:lvl>
  </w:abstractNum>
  <w:abstractNum w:abstractNumId="5">
    <w:nsid w:val="6231432A"/>
    <w:multiLevelType w:val="hybridMultilevel"/>
    <w:tmpl w:val="C6C05DD8"/>
    <w:lvl w:ilvl="0" w:tplc="196803F2">
      <w:start w:val="1"/>
      <w:numFmt w:val="decimal"/>
      <w:lvlText w:val="%1."/>
      <w:lvlJc w:val="left"/>
      <w:pPr>
        <w:ind w:left="1961" w:hanging="111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6">
    <w:nsid w:val="6C8170AA"/>
    <w:multiLevelType w:val="hybridMultilevel"/>
    <w:tmpl w:val="3E8E51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446315"/>
    <w:multiLevelType w:val="multilevel"/>
    <w:tmpl w:val="F83CC0D0"/>
    <w:lvl w:ilvl="0">
      <w:start w:val="1"/>
      <w:numFmt w:val="decimal"/>
      <w:lvlText w:val="%1."/>
      <w:lvlJc w:val="left"/>
      <w:pPr>
        <w:ind w:left="1070" w:hanging="360"/>
      </w:pPr>
      <w:rPr>
        <w:rFonts w:cs="Times New Roman" w:hint="default"/>
      </w:rPr>
    </w:lvl>
    <w:lvl w:ilvl="1">
      <w:start w:val="1"/>
      <w:numFmt w:val="decimal"/>
      <w:isLgl/>
      <w:lvlText w:val="%1.%2."/>
      <w:lvlJc w:val="left"/>
      <w:pPr>
        <w:ind w:left="1515" w:hanging="555"/>
      </w:pPr>
      <w:rPr>
        <w:rFonts w:cs="Times New Roman" w:hint="default"/>
      </w:rPr>
    </w:lvl>
    <w:lvl w:ilvl="2">
      <w:start w:val="1"/>
      <w:numFmt w:val="decimal"/>
      <w:isLgl/>
      <w:lvlText w:val="%1.%2.%3."/>
      <w:lvlJc w:val="left"/>
      <w:pPr>
        <w:ind w:left="6816" w:hanging="720"/>
      </w:pPr>
      <w:rPr>
        <w:rFonts w:cs="Times New Roman" w:hint="default"/>
      </w:rPr>
    </w:lvl>
    <w:lvl w:ilvl="3">
      <w:start w:val="1"/>
      <w:numFmt w:val="decimal"/>
      <w:isLgl/>
      <w:lvlText w:val="%1.%2.%3.%4."/>
      <w:lvlJc w:val="left"/>
      <w:pPr>
        <w:ind w:left="2180" w:hanging="720"/>
      </w:pPr>
      <w:rPr>
        <w:rFonts w:cs="Times New Roman" w:hint="default"/>
      </w:rPr>
    </w:lvl>
    <w:lvl w:ilvl="4">
      <w:start w:val="1"/>
      <w:numFmt w:val="decimal"/>
      <w:isLgl/>
      <w:lvlText w:val="%1.%2.%3.%4.%5."/>
      <w:lvlJc w:val="left"/>
      <w:pPr>
        <w:ind w:left="2790" w:hanging="1080"/>
      </w:pPr>
      <w:rPr>
        <w:rFonts w:cs="Times New Roman" w:hint="default"/>
      </w:rPr>
    </w:lvl>
    <w:lvl w:ilvl="5">
      <w:start w:val="1"/>
      <w:numFmt w:val="decimal"/>
      <w:isLgl/>
      <w:lvlText w:val="%1.%2.%3.%4.%5.%6."/>
      <w:lvlJc w:val="left"/>
      <w:pPr>
        <w:ind w:left="3040" w:hanging="1080"/>
      </w:pPr>
      <w:rPr>
        <w:rFonts w:cs="Times New Roman" w:hint="default"/>
      </w:rPr>
    </w:lvl>
    <w:lvl w:ilvl="6">
      <w:start w:val="1"/>
      <w:numFmt w:val="decimal"/>
      <w:isLgl/>
      <w:lvlText w:val="%1.%2.%3.%4.%5.%6.%7."/>
      <w:lvlJc w:val="left"/>
      <w:pPr>
        <w:ind w:left="3650" w:hanging="1440"/>
      </w:pPr>
      <w:rPr>
        <w:rFonts w:cs="Times New Roman" w:hint="default"/>
      </w:rPr>
    </w:lvl>
    <w:lvl w:ilvl="7">
      <w:start w:val="1"/>
      <w:numFmt w:val="decimal"/>
      <w:isLgl/>
      <w:lvlText w:val="%1.%2.%3.%4.%5.%6.%7.%8."/>
      <w:lvlJc w:val="left"/>
      <w:pPr>
        <w:ind w:left="3900" w:hanging="1440"/>
      </w:pPr>
      <w:rPr>
        <w:rFonts w:cs="Times New Roman" w:hint="default"/>
      </w:rPr>
    </w:lvl>
    <w:lvl w:ilvl="8">
      <w:start w:val="1"/>
      <w:numFmt w:val="decimal"/>
      <w:isLgl/>
      <w:lvlText w:val="%1.%2.%3.%4.%5.%6.%7.%8.%9."/>
      <w:lvlJc w:val="left"/>
      <w:pPr>
        <w:ind w:left="4510" w:hanging="1800"/>
      </w:pPr>
      <w:rPr>
        <w:rFonts w:cs="Times New Roman" w:hint="default"/>
      </w:rPr>
    </w:lvl>
  </w:abstractNum>
  <w:abstractNum w:abstractNumId="8">
    <w:nsid w:val="7A5C7258"/>
    <w:multiLevelType w:val="hybridMultilevel"/>
    <w:tmpl w:val="0630E404"/>
    <w:lvl w:ilvl="0" w:tplc="AFFE21E0">
      <w:start w:val="1"/>
      <w:numFmt w:val="decimal"/>
      <w:lvlText w:val="%1."/>
      <w:lvlJc w:val="left"/>
      <w:pPr>
        <w:ind w:left="1070"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num w:numId="1">
    <w:abstractNumId w:val="2"/>
  </w:num>
  <w:num w:numId="2">
    <w:abstractNumId w:val="6"/>
  </w:num>
  <w:num w:numId="3">
    <w:abstractNumId w:val="7"/>
  </w:num>
  <w:num w:numId="4">
    <w:abstractNumId w:val="8"/>
  </w:num>
  <w:num w:numId="5">
    <w:abstractNumId w:val="1"/>
  </w:num>
  <w:num w:numId="6">
    <w:abstractNumId w:val="0"/>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23E"/>
    <w:rsid w:val="000147B3"/>
    <w:rsid w:val="00017825"/>
    <w:rsid w:val="000701E0"/>
    <w:rsid w:val="000A1BDA"/>
    <w:rsid w:val="000B7492"/>
    <w:rsid w:val="000D25D6"/>
    <w:rsid w:val="000F3216"/>
    <w:rsid w:val="00106FA9"/>
    <w:rsid w:val="00143281"/>
    <w:rsid w:val="001B2715"/>
    <w:rsid w:val="001E2123"/>
    <w:rsid w:val="001F66F0"/>
    <w:rsid w:val="002A400E"/>
    <w:rsid w:val="002B49D9"/>
    <w:rsid w:val="002E574A"/>
    <w:rsid w:val="003120E3"/>
    <w:rsid w:val="003127D2"/>
    <w:rsid w:val="00320DEF"/>
    <w:rsid w:val="00340345"/>
    <w:rsid w:val="003410AD"/>
    <w:rsid w:val="003411E2"/>
    <w:rsid w:val="0034340C"/>
    <w:rsid w:val="00353E5E"/>
    <w:rsid w:val="003703C9"/>
    <w:rsid w:val="003709C2"/>
    <w:rsid w:val="00380F05"/>
    <w:rsid w:val="00382A6C"/>
    <w:rsid w:val="00386335"/>
    <w:rsid w:val="003A0614"/>
    <w:rsid w:val="003C0DDF"/>
    <w:rsid w:val="003C30DA"/>
    <w:rsid w:val="003C5550"/>
    <w:rsid w:val="003C7A2D"/>
    <w:rsid w:val="003E6E45"/>
    <w:rsid w:val="003F0A27"/>
    <w:rsid w:val="004140A6"/>
    <w:rsid w:val="00434D49"/>
    <w:rsid w:val="004364D5"/>
    <w:rsid w:val="004722CE"/>
    <w:rsid w:val="0049351C"/>
    <w:rsid w:val="004B4E07"/>
    <w:rsid w:val="004D3BB8"/>
    <w:rsid w:val="004E3973"/>
    <w:rsid w:val="005117A2"/>
    <w:rsid w:val="005434A3"/>
    <w:rsid w:val="005711C7"/>
    <w:rsid w:val="00572D7E"/>
    <w:rsid w:val="005D36B9"/>
    <w:rsid w:val="005D6C74"/>
    <w:rsid w:val="005F1C39"/>
    <w:rsid w:val="00645805"/>
    <w:rsid w:val="00645AB6"/>
    <w:rsid w:val="006502B6"/>
    <w:rsid w:val="0065266D"/>
    <w:rsid w:val="006F61E8"/>
    <w:rsid w:val="007842D8"/>
    <w:rsid w:val="007B7865"/>
    <w:rsid w:val="00805B97"/>
    <w:rsid w:val="0081764D"/>
    <w:rsid w:val="00824163"/>
    <w:rsid w:val="0083023E"/>
    <w:rsid w:val="00855AA1"/>
    <w:rsid w:val="00892716"/>
    <w:rsid w:val="00917A81"/>
    <w:rsid w:val="009208F1"/>
    <w:rsid w:val="00922BA1"/>
    <w:rsid w:val="00933CB9"/>
    <w:rsid w:val="00941701"/>
    <w:rsid w:val="00942EAC"/>
    <w:rsid w:val="009670C0"/>
    <w:rsid w:val="009A58AF"/>
    <w:rsid w:val="009D2312"/>
    <w:rsid w:val="009D7C7B"/>
    <w:rsid w:val="009E2101"/>
    <w:rsid w:val="009F6174"/>
    <w:rsid w:val="00A264BF"/>
    <w:rsid w:val="00A31E08"/>
    <w:rsid w:val="00A42659"/>
    <w:rsid w:val="00A5104A"/>
    <w:rsid w:val="00A62D2A"/>
    <w:rsid w:val="00A80073"/>
    <w:rsid w:val="00A92CCD"/>
    <w:rsid w:val="00AA4100"/>
    <w:rsid w:val="00AB190C"/>
    <w:rsid w:val="00AC4695"/>
    <w:rsid w:val="00AE0E9F"/>
    <w:rsid w:val="00AE128B"/>
    <w:rsid w:val="00B37752"/>
    <w:rsid w:val="00B53203"/>
    <w:rsid w:val="00B53DDF"/>
    <w:rsid w:val="00B7305D"/>
    <w:rsid w:val="00BA0B6C"/>
    <w:rsid w:val="00BC4180"/>
    <w:rsid w:val="00BF217F"/>
    <w:rsid w:val="00C1548F"/>
    <w:rsid w:val="00C156C1"/>
    <w:rsid w:val="00C35C47"/>
    <w:rsid w:val="00C6566F"/>
    <w:rsid w:val="00CA5795"/>
    <w:rsid w:val="00CE568D"/>
    <w:rsid w:val="00CF1AD8"/>
    <w:rsid w:val="00CF6C23"/>
    <w:rsid w:val="00D61B99"/>
    <w:rsid w:val="00D6405D"/>
    <w:rsid w:val="00D71E9A"/>
    <w:rsid w:val="00D84CF7"/>
    <w:rsid w:val="00DC2616"/>
    <w:rsid w:val="00DE5F1E"/>
    <w:rsid w:val="00DE6738"/>
    <w:rsid w:val="00E10442"/>
    <w:rsid w:val="00E147C5"/>
    <w:rsid w:val="00E16B8F"/>
    <w:rsid w:val="00E17531"/>
    <w:rsid w:val="00E273C6"/>
    <w:rsid w:val="00E42BEB"/>
    <w:rsid w:val="00EA1195"/>
    <w:rsid w:val="00EA1493"/>
    <w:rsid w:val="00EC527C"/>
    <w:rsid w:val="00EF2E73"/>
    <w:rsid w:val="00F0500E"/>
    <w:rsid w:val="00F41611"/>
    <w:rsid w:val="00F86CD4"/>
    <w:rsid w:val="00F923A5"/>
    <w:rsid w:val="00FA02E9"/>
    <w:rsid w:val="00FD36D2"/>
    <w:rsid w:val="00FD7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0C0"/>
  </w:style>
  <w:style w:type="paragraph" w:styleId="2">
    <w:name w:val="heading 2"/>
    <w:basedOn w:val="a"/>
    <w:link w:val="20"/>
    <w:uiPriority w:val="9"/>
    <w:qFormat/>
    <w:rsid w:val="0083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23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E5F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5F1E"/>
    <w:rPr>
      <w:rFonts w:ascii="Tahoma" w:hAnsi="Tahoma" w:cs="Tahoma"/>
      <w:sz w:val="16"/>
      <w:szCs w:val="16"/>
    </w:rPr>
  </w:style>
  <w:style w:type="paragraph" w:styleId="a6">
    <w:name w:val="List Paragraph"/>
    <w:basedOn w:val="a"/>
    <w:uiPriority w:val="34"/>
    <w:qFormat/>
    <w:rsid w:val="00DE5F1E"/>
    <w:pPr>
      <w:ind w:left="720"/>
      <w:contextualSpacing/>
    </w:pPr>
  </w:style>
  <w:style w:type="character" w:styleId="a7">
    <w:name w:val="Hyperlink"/>
    <w:uiPriority w:val="99"/>
    <w:rsid w:val="006F61E8"/>
    <w:rPr>
      <w:color w:val="0000FF"/>
      <w:u w:val="single"/>
    </w:rPr>
  </w:style>
  <w:style w:type="character" w:styleId="a8">
    <w:name w:val="Strong"/>
    <w:basedOn w:val="a0"/>
    <w:uiPriority w:val="22"/>
    <w:qFormat/>
    <w:rsid w:val="006F61E8"/>
    <w:rPr>
      <w:b/>
      <w:bCs/>
    </w:rPr>
  </w:style>
  <w:style w:type="paragraph" w:customStyle="1" w:styleId="211">
    <w:name w:val=" Знак2 Знак Знак1 Знак1 Знак Знак Знак Знак Знак Знак Знак Знак Знак Знак Знак Знак"/>
    <w:basedOn w:val="a"/>
    <w:rsid w:val="003A0614"/>
    <w:pPr>
      <w:spacing w:after="160" w:line="240" w:lineRule="exact"/>
    </w:pPr>
    <w:rPr>
      <w:rFonts w:ascii="Verdana" w:eastAsia="Times New Roman" w:hAnsi="Verdana" w:cs="Times New Roman"/>
      <w:sz w:val="20"/>
      <w:szCs w:val="20"/>
      <w:lang w:val="en-US"/>
    </w:rPr>
  </w:style>
  <w:style w:type="paragraph" w:customStyle="1" w:styleId="a9">
    <w:name w:val="ККГЭС Текст"/>
    <w:basedOn w:val="a"/>
    <w:link w:val="aa"/>
    <w:rsid w:val="003A0614"/>
    <w:pPr>
      <w:suppressAutoHyphens/>
      <w:spacing w:after="120" w:line="240" w:lineRule="auto"/>
      <w:ind w:firstLine="851"/>
      <w:jc w:val="both"/>
    </w:pPr>
    <w:rPr>
      <w:rFonts w:ascii="Times New Roman" w:eastAsia="Times New Roman" w:hAnsi="Times New Roman" w:cs="Times New Roman"/>
      <w:sz w:val="24"/>
      <w:szCs w:val="24"/>
    </w:rPr>
  </w:style>
  <w:style w:type="character" w:customStyle="1" w:styleId="aa">
    <w:name w:val="ККГЭС Текст Знак"/>
    <w:link w:val="a9"/>
    <w:locked/>
    <w:rsid w:val="003A061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44828">
      <w:bodyDiv w:val="1"/>
      <w:marLeft w:val="0"/>
      <w:marRight w:val="0"/>
      <w:marTop w:val="0"/>
      <w:marBottom w:val="0"/>
      <w:divBdr>
        <w:top w:val="none" w:sz="0" w:space="0" w:color="auto"/>
        <w:left w:val="none" w:sz="0" w:space="0" w:color="auto"/>
        <w:bottom w:val="none" w:sz="0" w:space="0" w:color="auto"/>
        <w:right w:val="none" w:sz="0" w:space="0" w:color="auto"/>
      </w:divBdr>
    </w:div>
    <w:div w:id="9738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cp:lastModifiedBy>
  <cp:revision>3</cp:revision>
  <cp:lastPrinted>2020-01-27T12:33:00Z</cp:lastPrinted>
  <dcterms:created xsi:type="dcterms:W3CDTF">2020-01-24T10:58:00Z</dcterms:created>
  <dcterms:modified xsi:type="dcterms:W3CDTF">2020-01-27T12:34:00Z</dcterms:modified>
</cp:coreProperties>
</file>