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16" w:rsidRDefault="00D71E9A" w:rsidP="00544047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  <w:r w:rsidRPr="00A84D09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047" w:rsidRPr="00A84D09" w:rsidRDefault="00544047" w:rsidP="00544047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396"/>
      </w:tblGrid>
      <w:tr w:rsidR="00D71E9A" w:rsidRPr="00A84D09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A84D09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  <w:p w:rsidR="00D71E9A" w:rsidRPr="00A84D09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D71E9A" w:rsidRPr="00A84D09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A84D09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  <w:tr w:rsidR="00D71E9A" w:rsidRPr="00A84D09" w:rsidTr="00A9532A">
        <w:trPr>
          <w:cantSplit/>
          <w:trHeight w:val="119"/>
        </w:trPr>
        <w:tc>
          <w:tcPr>
            <w:tcW w:w="264" w:type="dxa"/>
          </w:tcPr>
          <w:p w:rsidR="00D71E9A" w:rsidRPr="00A84D09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C35C47" w:rsidRPr="00A84D09" w:rsidRDefault="00C35C47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4D09"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3B7316" w:rsidRPr="00A84D09" w:rsidRDefault="003B7316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4D09">
        <w:rPr>
          <w:rFonts w:ascii="PT Astra Serif" w:hAnsi="PT Astra Serif" w:cs="Times New Roman"/>
          <w:b/>
          <w:sz w:val="28"/>
          <w:szCs w:val="28"/>
        </w:rPr>
        <w:t>САРАТОВСКАЯ ОБЛАСТЬ</w:t>
      </w:r>
    </w:p>
    <w:p w:rsidR="00D71E9A" w:rsidRPr="00A84D09" w:rsidRDefault="00D71E9A" w:rsidP="005003B2">
      <w:pPr>
        <w:pStyle w:val="2"/>
        <w:spacing w:after="0" w:afterAutospacing="0"/>
        <w:ind w:left="180"/>
        <w:jc w:val="center"/>
        <w:rPr>
          <w:rFonts w:ascii="PT Astra Serif" w:hAnsi="PT Astra Serif"/>
          <w:sz w:val="28"/>
          <w:szCs w:val="28"/>
        </w:rPr>
      </w:pPr>
      <w:proofErr w:type="gramStart"/>
      <w:r w:rsidRPr="00A84D09">
        <w:rPr>
          <w:rFonts w:ascii="PT Astra Serif" w:hAnsi="PT Astra Serif"/>
          <w:sz w:val="28"/>
          <w:szCs w:val="28"/>
        </w:rPr>
        <w:t>Р</w:t>
      </w:r>
      <w:proofErr w:type="gramEnd"/>
      <w:r w:rsidRPr="00A84D09">
        <w:rPr>
          <w:rFonts w:ascii="PT Astra Serif" w:hAnsi="PT Astra Serif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page" w:tblpX="1571" w:tblpY="319"/>
        <w:tblW w:w="0" w:type="auto"/>
        <w:tblLayout w:type="fixed"/>
        <w:tblLook w:val="0000"/>
      </w:tblPr>
      <w:tblGrid>
        <w:gridCol w:w="648"/>
        <w:gridCol w:w="1980"/>
        <w:gridCol w:w="763"/>
        <w:gridCol w:w="1397"/>
      </w:tblGrid>
      <w:tr w:rsidR="00D71E9A" w:rsidRPr="00A84D09" w:rsidTr="00544047">
        <w:trPr>
          <w:cantSplit/>
          <w:trHeight w:val="322"/>
        </w:trPr>
        <w:tc>
          <w:tcPr>
            <w:tcW w:w="648" w:type="dxa"/>
            <w:vMerge w:val="restart"/>
            <w:vAlign w:val="bottom"/>
          </w:tcPr>
          <w:p w:rsidR="00D71E9A" w:rsidRPr="00A84D09" w:rsidRDefault="00D71E9A" w:rsidP="00544047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71E9A" w:rsidRPr="00A84D09" w:rsidRDefault="00D71E9A" w:rsidP="00544047">
            <w:pPr>
              <w:spacing w:after="0" w:line="240" w:lineRule="auto"/>
              <w:ind w:left="-3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84D09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1980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A84D09" w:rsidRDefault="00544047" w:rsidP="00544047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28.12.2023</w:t>
            </w:r>
          </w:p>
        </w:tc>
        <w:tc>
          <w:tcPr>
            <w:tcW w:w="763" w:type="dxa"/>
            <w:vMerge w:val="restart"/>
            <w:vAlign w:val="bottom"/>
          </w:tcPr>
          <w:p w:rsidR="00D71E9A" w:rsidRPr="00A84D09" w:rsidRDefault="00D71E9A" w:rsidP="0054404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84D09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A84D09" w:rsidRDefault="00544047" w:rsidP="005440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124</w:t>
            </w:r>
          </w:p>
        </w:tc>
      </w:tr>
      <w:tr w:rsidR="00D71E9A" w:rsidRPr="00A84D09" w:rsidTr="00544047">
        <w:trPr>
          <w:cantSplit/>
          <w:trHeight w:val="322"/>
        </w:trPr>
        <w:tc>
          <w:tcPr>
            <w:tcW w:w="648" w:type="dxa"/>
            <w:vMerge/>
            <w:vAlign w:val="bottom"/>
          </w:tcPr>
          <w:p w:rsidR="00D71E9A" w:rsidRPr="00A84D09" w:rsidRDefault="00D71E9A" w:rsidP="00544047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vAlign w:val="bottom"/>
          </w:tcPr>
          <w:p w:rsidR="00D71E9A" w:rsidRPr="00A84D09" w:rsidRDefault="00D71E9A" w:rsidP="00544047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  <w:vAlign w:val="bottom"/>
          </w:tcPr>
          <w:p w:rsidR="00D71E9A" w:rsidRPr="00A84D09" w:rsidRDefault="00D71E9A" w:rsidP="00544047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bottom w:val="dotted" w:sz="4" w:space="0" w:color="auto"/>
            </w:tcBorders>
            <w:vAlign w:val="bottom"/>
          </w:tcPr>
          <w:p w:rsidR="00D71E9A" w:rsidRPr="00A84D09" w:rsidRDefault="00D71E9A" w:rsidP="00544047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71E9A" w:rsidRPr="00A84D09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D71E9A" w:rsidRPr="00A84D09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E5F1E" w:rsidRPr="00A84D09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bCs/>
        </w:rPr>
      </w:pPr>
      <w:r w:rsidRPr="00A84D09">
        <w:rPr>
          <w:rFonts w:ascii="PT Astra Serif" w:hAnsi="PT Astra Serif" w:cs="Times New Roman"/>
          <w:sz w:val="28"/>
        </w:rPr>
        <w:t xml:space="preserve">         </w:t>
      </w:r>
    </w:p>
    <w:p w:rsidR="00E147C5" w:rsidRPr="00A84D09" w:rsidRDefault="00E147C5" w:rsidP="0044734B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B7316" w:rsidRPr="00A84D09" w:rsidRDefault="003B7316" w:rsidP="0044734B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703C9" w:rsidRPr="00A84D09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  <w:r w:rsidRPr="00A84D09">
        <w:rPr>
          <w:rFonts w:ascii="PT Astra Serif" w:eastAsia="Arial Unicode MS" w:hAnsi="PT Astra Serif" w:cs="Times New Roman"/>
          <w:sz w:val="28"/>
          <w:szCs w:val="28"/>
        </w:rPr>
        <w:t xml:space="preserve">О  </w:t>
      </w:r>
      <w:r w:rsidR="00C35C47" w:rsidRPr="00A84D09">
        <w:rPr>
          <w:rFonts w:ascii="PT Astra Serif" w:hAnsi="PT Astra Serif" w:cs="Times New Roman"/>
          <w:iCs/>
          <w:sz w:val="28"/>
          <w:szCs w:val="28"/>
        </w:rPr>
        <w:t xml:space="preserve">внесении изменений в </w:t>
      </w:r>
      <w:r w:rsidR="00EF17CE" w:rsidRPr="00A84D09">
        <w:rPr>
          <w:rFonts w:ascii="PT Astra Serif" w:hAnsi="PT Astra Serif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D33FD8" w:rsidRPr="00A84D09">
        <w:rPr>
          <w:rFonts w:ascii="PT Astra Serif" w:hAnsi="PT Astra Serif" w:cs="Times New Roman"/>
          <w:iCs/>
          <w:sz w:val="28"/>
          <w:szCs w:val="28"/>
        </w:rPr>
        <w:t>Карамышского</w:t>
      </w:r>
      <w:proofErr w:type="spellEnd"/>
      <w:r w:rsidR="00D33FD8" w:rsidRPr="00A84D09">
        <w:rPr>
          <w:rFonts w:ascii="PT Astra Serif" w:hAnsi="PT Astra Serif" w:cs="Times New Roman"/>
          <w:iCs/>
          <w:sz w:val="28"/>
          <w:szCs w:val="28"/>
        </w:rPr>
        <w:t xml:space="preserve"> </w:t>
      </w:r>
      <w:r w:rsidR="00C35C47" w:rsidRPr="00A84D09">
        <w:rPr>
          <w:rFonts w:ascii="PT Astra Serif" w:hAnsi="PT Astra Serif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A84D09">
        <w:rPr>
          <w:rFonts w:ascii="PT Astra Serif" w:hAnsi="PT Astra Serif" w:cs="Times New Roman"/>
          <w:iCs/>
          <w:sz w:val="28"/>
          <w:szCs w:val="28"/>
        </w:rPr>
        <w:t xml:space="preserve"> Саратовской области</w:t>
      </w:r>
    </w:p>
    <w:p w:rsidR="00DE5F1E" w:rsidRPr="00A84D09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3703C9" w:rsidRPr="00A84D09" w:rsidRDefault="00C35C47" w:rsidP="0044734B">
      <w:pPr>
        <w:spacing w:after="0" w:line="240" w:lineRule="auto"/>
        <w:ind w:left="180" w:firstLine="426"/>
        <w:jc w:val="both"/>
        <w:rPr>
          <w:rFonts w:ascii="PT Astra Serif" w:eastAsia="Arial Unicode MS" w:hAnsi="PT Astra Serif" w:cs="Times New Roman"/>
          <w:sz w:val="28"/>
          <w:szCs w:val="28"/>
        </w:rPr>
      </w:pPr>
      <w:r w:rsidRPr="00A84D09">
        <w:rPr>
          <w:rFonts w:ascii="PT Astra Serif" w:hAnsi="PT Astra Serif" w:cs="Times New Roman"/>
          <w:iCs/>
          <w:sz w:val="28"/>
          <w:szCs w:val="28"/>
        </w:rPr>
        <w:t xml:space="preserve">На основании статьи </w:t>
      </w:r>
      <w:r w:rsidR="008B4166" w:rsidRPr="00A84D09">
        <w:rPr>
          <w:rFonts w:ascii="PT Astra Serif" w:hAnsi="PT Astra Serif" w:cs="Times New Roman"/>
          <w:iCs/>
          <w:sz w:val="28"/>
          <w:szCs w:val="28"/>
        </w:rPr>
        <w:t>32, 33</w:t>
      </w:r>
      <w:r w:rsidRPr="00A84D09">
        <w:rPr>
          <w:rFonts w:ascii="PT Astra Serif" w:hAnsi="PT Astra Serif" w:cs="Times New Roman"/>
          <w:iCs/>
          <w:sz w:val="28"/>
          <w:szCs w:val="28"/>
        </w:rPr>
        <w:t xml:space="preserve"> Градостроительного кодекса</w:t>
      </w:r>
      <w:r w:rsidR="00DE5F1E" w:rsidRPr="00A84D09">
        <w:rPr>
          <w:rFonts w:ascii="PT Astra Serif" w:hAnsi="PT Astra Serif" w:cs="Times New Roman"/>
          <w:iCs/>
          <w:sz w:val="28"/>
          <w:szCs w:val="28"/>
        </w:rPr>
        <w:t xml:space="preserve"> РФ, </w:t>
      </w:r>
      <w:r w:rsidR="009F6174" w:rsidRPr="00A84D09">
        <w:rPr>
          <w:rFonts w:ascii="PT Astra Serif" w:hAnsi="PT Astra Serif" w:cs="Times New Roman"/>
          <w:bCs/>
          <w:color w:val="000000"/>
          <w:sz w:val="28"/>
          <w:szCs w:val="28"/>
        </w:rPr>
        <w:t>Федеральным</w:t>
      </w:r>
      <w:r w:rsidR="00D84CF7" w:rsidRPr="00A84D09">
        <w:rPr>
          <w:rFonts w:ascii="PT Astra Serif" w:hAnsi="PT Astra Serif" w:cs="Times New Roman"/>
          <w:bCs/>
          <w:color w:val="000000"/>
          <w:sz w:val="28"/>
          <w:szCs w:val="28"/>
        </w:rPr>
        <w:t>и</w:t>
      </w:r>
      <w:r w:rsidR="009F6174" w:rsidRPr="00A84D09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закон</w:t>
      </w:r>
      <w:r w:rsidR="00D84CF7" w:rsidRPr="00A84D09">
        <w:rPr>
          <w:rFonts w:ascii="PT Astra Serif" w:hAnsi="PT Astra Serif" w:cs="Times New Roman"/>
          <w:bCs/>
          <w:color w:val="000000"/>
          <w:sz w:val="28"/>
          <w:szCs w:val="28"/>
        </w:rPr>
        <w:t>а</w:t>
      </w:r>
      <w:r w:rsidR="009F6174" w:rsidRPr="00A84D09">
        <w:rPr>
          <w:rFonts w:ascii="PT Astra Serif" w:hAnsi="PT Astra Serif" w:cs="Times New Roman"/>
          <w:bCs/>
          <w:color w:val="000000"/>
          <w:sz w:val="28"/>
          <w:szCs w:val="28"/>
        </w:rPr>
        <w:t>м</w:t>
      </w:r>
      <w:r w:rsidR="00D84CF7" w:rsidRPr="00A84D09">
        <w:rPr>
          <w:rFonts w:ascii="PT Astra Serif" w:hAnsi="PT Astra Serif" w:cs="Times New Roman"/>
          <w:bCs/>
          <w:color w:val="000000"/>
          <w:sz w:val="28"/>
          <w:szCs w:val="28"/>
        </w:rPr>
        <w:t>и</w:t>
      </w:r>
      <w:r w:rsidR="009F6174" w:rsidRPr="00A84D09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A84D09">
        <w:rPr>
          <w:rFonts w:ascii="PT Astra Serif" w:hAnsi="PT Astra Serif" w:cs="Times New Roman"/>
          <w:sz w:val="28"/>
          <w:szCs w:val="28"/>
        </w:rPr>
        <w:t xml:space="preserve"> </w:t>
      </w:r>
      <w:r w:rsidR="005003B2" w:rsidRPr="00A84D09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заключения о результатах публичных слушаний по вопросу о внесении изменений в Правила землепользования и застройки </w:t>
      </w:r>
      <w:proofErr w:type="spellStart"/>
      <w:r w:rsidR="005003B2" w:rsidRPr="00A84D09">
        <w:rPr>
          <w:rFonts w:ascii="PT Astra Serif" w:hAnsi="PT Astra Serif"/>
          <w:sz w:val="28"/>
          <w:szCs w:val="28"/>
          <w:shd w:val="clear" w:color="auto" w:fill="FFFFFF"/>
        </w:rPr>
        <w:t>Карамышского</w:t>
      </w:r>
      <w:proofErr w:type="spellEnd"/>
      <w:r w:rsidR="005003B2" w:rsidRPr="00A84D09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муниципального образования от 30.09.2022г.</w:t>
      </w:r>
      <w:r w:rsidR="002E6207" w:rsidRPr="00A84D09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A84D09">
        <w:rPr>
          <w:rFonts w:ascii="PT Astra Serif" w:eastAsia="Arial Unicode MS" w:hAnsi="PT Astra Serif" w:cs="Times New Roman"/>
          <w:sz w:val="28"/>
          <w:szCs w:val="28"/>
        </w:rPr>
        <w:t xml:space="preserve">Красноармейское районное Собрание </w:t>
      </w:r>
      <w:r w:rsidR="00D71E9A" w:rsidRPr="00A84D09">
        <w:rPr>
          <w:rFonts w:ascii="PT Astra Serif" w:eastAsia="Arial Unicode MS" w:hAnsi="PT Astra Serif" w:cs="Times New Roman"/>
          <w:b/>
          <w:sz w:val="28"/>
          <w:szCs w:val="28"/>
        </w:rPr>
        <w:t>РЕШИЛ</w:t>
      </w:r>
      <w:r w:rsidRPr="00A84D09">
        <w:rPr>
          <w:rFonts w:ascii="PT Astra Serif" w:eastAsia="Arial Unicode MS" w:hAnsi="PT Astra Serif" w:cs="Times New Roman"/>
          <w:b/>
          <w:sz w:val="28"/>
          <w:szCs w:val="28"/>
        </w:rPr>
        <w:t>О</w:t>
      </w:r>
      <w:r w:rsidR="003703C9" w:rsidRPr="00A84D09">
        <w:rPr>
          <w:rFonts w:ascii="PT Astra Serif" w:eastAsia="Arial Unicode MS" w:hAnsi="PT Astra Serif" w:cs="Times New Roman"/>
          <w:b/>
          <w:sz w:val="28"/>
          <w:szCs w:val="28"/>
        </w:rPr>
        <w:t>:</w:t>
      </w:r>
    </w:p>
    <w:p w:rsidR="00714078" w:rsidRPr="00A84D09" w:rsidRDefault="00D33FD8" w:rsidP="0044734B">
      <w:pPr>
        <w:pStyle w:val="a6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proofErr w:type="spellStart"/>
      <w:r w:rsidRPr="00A84D09">
        <w:rPr>
          <w:rFonts w:ascii="PT Astra Serif" w:hAnsi="PT Astra Serif" w:cs="Times New Roman"/>
          <w:color w:val="000000"/>
          <w:sz w:val="28"/>
          <w:szCs w:val="28"/>
        </w:rPr>
        <w:t>Карамышского</w:t>
      </w:r>
      <w:proofErr w:type="spellEnd"/>
      <w:r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образования, утвержденные решением Совета </w:t>
      </w:r>
      <w:proofErr w:type="spellStart"/>
      <w:r w:rsidRPr="00A84D09">
        <w:rPr>
          <w:rFonts w:ascii="PT Astra Serif" w:hAnsi="PT Astra Serif" w:cs="Times New Roman"/>
          <w:color w:val="000000"/>
          <w:sz w:val="28"/>
          <w:szCs w:val="28"/>
        </w:rPr>
        <w:t>Карамышского</w:t>
      </w:r>
      <w:proofErr w:type="spellEnd"/>
      <w:r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 Красноармейского муниципального района Саратовской области от </w:t>
      </w:r>
      <w:r w:rsidR="00A84D09" w:rsidRPr="00A84D09">
        <w:rPr>
          <w:rFonts w:ascii="PT Astra Serif" w:hAnsi="PT Astra Serif" w:cs="Times New Roman"/>
          <w:color w:val="000000"/>
          <w:sz w:val="28"/>
          <w:szCs w:val="28"/>
        </w:rPr>
        <w:t>29.09.2023</w:t>
      </w:r>
      <w:r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 № </w:t>
      </w:r>
      <w:r w:rsidR="00A84D09" w:rsidRPr="00A84D09">
        <w:rPr>
          <w:rFonts w:ascii="PT Astra Serif" w:hAnsi="PT Astra Serif" w:cs="Times New Roman"/>
          <w:color w:val="000000"/>
          <w:sz w:val="28"/>
          <w:szCs w:val="28"/>
        </w:rPr>
        <w:t>85</w:t>
      </w:r>
      <w:r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B7316" w:rsidRPr="00A84D09">
        <w:rPr>
          <w:rFonts w:ascii="PT Astra Serif" w:hAnsi="PT Astra Serif" w:cs="Times New Roman"/>
          <w:color w:val="000000"/>
          <w:sz w:val="28"/>
          <w:szCs w:val="28"/>
        </w:rPr>
        <w:t>следующие изменения</w:t>
      </w:r>
      <w:r w:rsidR="008B4166" w:rsidRPr="00A84D09">
        <w:rPr>
          <w:rFonts w:ascii="PT Astra Serif" w:hAnsi="PT Astra Serif" w:cs="Times New Roman"/>
          <w:color w:val="000000"/>
          <w:sz w:val="28"/>
          <w:szCs w:val="28"/>
        </w:rPr>
        <w:t>:</w:t>
      </w:r>
      <w:r w:rsidR="00C3257C" w:rsidRPr="00A84D09">
        <w:rPr>
          <w:rFonts w:ascii="PT Astra Serif" w:hAnsi="PT Astra Serif"/>
        </w:rPr>
        <w:t xml:space="preserve"> </w:t>
      </w:r>
    </w:p>
    <w:p w:rsidR="0044734B" w:rsidRPr="00A84D09" w:rsidRDefault="008B4166" w:rsidP="00A84D09">
      <w:pPr>
        <w:pStyle w:val="a6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84D09">
        <w:rPr>
          <w:rFonts w:ascii="PT Astra Serif" w:hAnsi="PT Astra Serif" w:cs="Times New Roman"/>
          <w:sz w:val="28"/>
          <w:szCs w:val="28"/>
        </w:rPr>
        <w:t>-</w:t>
      </w:r>
      <w:r w:rsidR="007602C1">
        <w:rPr>
          <w:rFonts w:ascii="PT Astra Serif" w:hAnsi="PT Astra Serif" w:cs="Times New Roman"/>
          <w:sz w:val="28"/>
          <w:szCs w:val="28"/>
        </w:rPr>
        <w:t xml:space="preserve">пункт 1 </w:t>
      </w:r>
      <w:r w:rsidR="00A84D09" w:rsidRPr="00A84D09">
        <w:rPr>
          <w:rFonts w:ascii="PT Astra Serif" w:hAnsi="PT Astra Serif" w:cs="Times New Roman"/>
          <w:sz w:val="28"/>
          <w:szCs w:val="28"/>
        </w:rPr>
        <w:t>«Зона сельскохозяйственных угодий»</w:t>
      </w:r>
      <w:r w:rsidR="007602C1">
        <w:rPr>
          <w:rFonts w:ascii="PT Astra Serif" w:hAnsi="PT Astra Serif" w:cs="Times New Roman"/>
          <w:sz w:val="28"/>
          <w:szCs w:val="28"/>
        </w:rPr>
        <w:t>(</w:t>
      </w:r>
      <w:r w:rsidR="007602C1" w:rsidRPr="00A84D09">
        <w:rPr>
          <w:rFonts w:ascii="PT Astra Serif" w:hAnsi="PT Astra Serif" w:cs="Times New Roman"/>
          <w:sz w:val="28"/>
          <w:szCs w:val="28"/>
        </w:rPr>
        <w:t>Сх1</w:t>
      </w:r>
      <w:r w:rsidR="007602C1">
        <w:rPr>
          <w:rFonts w:ascii="PT Astra Serif" w:hAnsi="PT Astra Serif" w:cs="Times New Roman"/>
          <w:sz w:val="28"/>
          <w:szCs w:val="28"/>
        </w:rPr>
        <w:t>)</w:t>
      </w:r>
      <w:r w:rsidR="00A84D09" w:rsidRPr="00A84D09">
        <w:rPr>
          <w:rFonts w:ascii="PT Astra Serif" w:hAnsi="PT Astra Serif" w:cs="Times New Roman"/>
          <w:sz w:val="28"/>
          <w:szCs w:val="28"/>
        </w:rPr>
        <w:t xml:space="preserve"> статьи 64 «Зоны сельскохозяйственного использования» изложить в новой редакции согласно приложению.</w:t>
      </w:r>
    </w:p>
    <w:p w:rsidR="003B7316" w:rsidRPr="00A84D09" w:rsidRDefault="00C35C47" w:rsidP="0044734B">
      <w:pPr>
        <w:pStyle w:val="a6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84D09">
        <w:rPr>
          <w:rFonts w:ascii="PT Astra Serif" w:hAnsi="PT Astra Serif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</w:t>
      </w:r>
    </w:p>
    <w:p w:rsidR="00A80073" w:rsidRPr="00A84D09" w:rsidRDefault="00C35C47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 Саратовской области в информационно телекоммуникационной сети «Интернет».</w:t>
      </w:r>
      <w:r w:rsidR="00A80073" w:rsidRPr="00A84D0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71E9A" w:rsidRPr="00A84D09" w:rsidRDefault="00A84D09" w:rsidP="0044734B">
      <w:pPr>
        <w:spacing w:after="0" w:line="240" w:lineRule="auto"/>
        <w:ind w:left="180" w:firstLine="426"/>
        <w:jc w:val="both"/>
        <w:rPr>
          <w:rFonts w:ascii="PT Astra Serif" w:hAnsi="PT Astra Serif" w:cs="Times New Roman"/>
          <w:sz w:val="28"/>
          <w:szCs w:val="28"/>
        </w:rPr>
      </w:pPr>
      <w:r w:rsidRPr="00A84D09">
        <w:rPr>
          <w:rFonts w:ascii="PT Astra Serif" w:eastAsia="Arial Unicode MS" w:hAnsi="PT Astra Serif" w:cs="Times New Roman"/>
          <w:sz w:val="28"/>
          <w:szCs w:val="28"/>
        </w:rPr>
        <w:t>3</w:t>
      </w:r>
      <w:r w:rsidR="005117A2" w:rsidRPr="00A84D09">
        <w:rPr>
          <w:rFonts w:ascii="PT Astra Serif" w:eastAsia="Arial Unicode MS" w:hAnsi="PT Astra Serif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A84D09" w:rsidRDefault="00D71E9A" w:rsidP="0044734B">
      <w:pPr>
        <w:pStyle w:val="a6"/>
        <w:tabs>
          <w:tab w:val="left" w:pos="540"/>
        </w:tabs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</w:p>
    <w:p w:rsidR="005117A2" w:rsidRPr="00A84D09" w:rsidRDefault="005117A2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A84D09">
        <w:rPr>
          <w:rFonts w:ascii="PT Astra Serif" w:hAnsi="PT Astra Serif" w:cs="Times New Roman"/>
          <w:sz w:val="28"/>
          <w:szCs w:val="28"/>
        </w:rPr>
        <w:t xml:space="preserve">Председатель </w:t>
      </w:r>
      <w:proofErr w:type="gramStart"/>
      <w:r w:rsidRPr="00A84D09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D71E9A" w:rsidRPr="00A84D09" w:rsidRDefault="005117A2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A84D09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D71E9A" w:rsidRPr="00A84D09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3B7316" w:rsidRPr="00A84D09">
        <w:rPr>
          <w:rFonts w:ascii="PT Astra Serif" w:hAnsi="PT Astra Serif" w:cs="Times New Roman"/>
          <w:sz w:val="28"/>
          <w:szCs w:val="28"/>
        </w:rPr>
        <w:t xml:space="preserve">     </w:t>
      </w:r>
      <w:r w:rsidR="00D71E9A" w:rsidRPr="00A84D09">
        <w:rPr>
          <w:rFonts w:ascii="PT Astra Serif" w:hAnsi="PT Astra Serif" w:cs="Times New Roman"/>
          <w:sz w:val="28"/>
          <w:szCs w:val="28"/>
        </w:rPr>
        <w:t xml:space="preserve">   </w:t>
      </w:r>
      <w:r w:rsidRPr="00A84D09">
        <w:rPr>
          <w:rFonts w:ascii="PT Astra Serif" w:hAnsi="PT Astra Serif" w:cs="Times New Roman"/>
          <w:sz w:val="28"/>
          <w:szCs w:val="28"/>
        </w:rPr>
        <w:t xml:space="preserve">                    Л.В. Герасимова</w:t>
      </w:r>
    </w:p>
    <w:p w:rsidR="003B7316" w:rsidRPr="00A84D09" w:rsidRDefault="003B7316" w:rsidP="0044734B">
      <w:pPr>
        <w:pStyle w:val="a6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3B7316" w:rsidRPr="00A84D09" w:rsidRDefault="003B7316" w:rsidP="0044734B">
      <w:pPr>
        <w:pStyle w:val="a6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3B7316" w:rsidRPr="00A84D09" w:rsidRDefault="003B7316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A84D09">
        <w:rPr>
          <w:rFonts w:ascii="PT Astra Serif" w:hAnsi="PT Astra Serif" w:cs="Times New Roman"/>
          <w:sz w:val="28"/>
          <w:szCs w:val="28"/>
        </w:rPr>
        <w:t xml:space="preserve">Секретарь </w:t>
      </w:r>
      <w:proofErr w:type="gramStart"/>
      <w:r w:rsidRPr="00A84D09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44734B" w:rsidRPr="00544047" w:rsidRDefault="003B7316" w:rsidP="00544047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A84D09">
        <w:rPr>
          <w:rFonts w:ascii="PT Astra Serif" w:hAnsi="PT Astra Serif" w:cs="Times New Roman"/>
          <w:sz w:val="28"/>
          <w:szCs w:val="28"/>
        </w:rPr>
        <w:t xml:space="preserve">районного Собрания                                                                           </w:t>
      </w:r>
      <w:proofErr w:type="spellStart"/>
      <w:r w:rsidRPr="00A84D09">
        <w:rPr>
          <w:rFonts w:ascii="PT Astra Serif" w:hAnsi="PT Astra Serif" w:cs="Times New Roman"/>
          <w:sz w:val="28"/>
          <w:szCs w:val="28"/>
        </w:rPr>
        <w:t>А.В.Кузьменко</w:t>
      </w:r>
      <w:proofErr w:type="spellEnd"/>
    </w:p>
    <w:p w:rsidR="00F06EF1" w:rsidRPr="00A84D09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A84D09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№1</w:t>
      </w:r>
    </w:p>
    <w:p w:rsidR="0044734B" w:rsidRPr="00A84D09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A84D09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A84D09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A84D09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A84D09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A84D09">
        <w:rPr>
          <w:rFonts w:ascii="PT Astra Serif" w:hAnsi="PT Astra Serif" w:cs="Times New Roman"/>
          <w:color w:val="000000"/>
          <w:sz w:val="18"/>
          <w:szCs w:val="18"/>
        </w:rPr>
        <w:t xml:space="preserve">от </w:t>
      </w:r>
      <w:r w:rsidR="00544047">
        <w:rPr>
          <w:rFonts w:ascii="PT Astra Serif" w:hAnsi="PT Astra Serif" w:cs="Times New Roman"/>
          <w:color w:val="000000"/>
          <w:sz w:val="18"/>
          <w:szCs w:val="18"/>
        </w:rPr>
        <w:t>28.12.2023 № 124</w:t>
      </w:r>
    </w:p>
    <w:p w:rsidR="00A84D09" w:rsidRPr="00A84D09" w:rsidRDefault="00A84D09" w:rsidP="00A84D09">
      <w:pPr>
        <w:pStyle w:val="a6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PT Astra Serif" w:hAnsi="PT Astra Serif"/>
          <w:b/>
          <w:bCs/>
          <w:spacing w:val="-10"/>
          <w:sz w:val="28"/>
          <w:szCs w:val="28"/>
          <w:lang w:eastAsia="ar-SA"/>
        </w:rPr>
      </w:pPr>
      <w:r w:rsidRPr="00A84D09">
        <w:rPr>
          <w:rFonts w:ascii="PT Astra Serif" w:hAnsi="PT Astra Serif"/>
          <w:b/>
          <w:bCs/>
          <w:spacing w:val="-10"/>
          <w:sz w:val="28"/>
          <w:szCs w:val="28"/>
          <w:lang w:eastAsia="ar-SA"/>
        </w:rPr>
        <w:t>Сх</w:t>
      </w:r>
      <w:proofErr w:type="gramStart"/>
      <w:r w:rsidRPr="00A84D09">
        <w:rPr>
          <w:rFonts w:ascii="PT Astra Serif" w:hAnsi="PT Astra Serif"/>
          <w:b/>
          <w:bCs/>
          <w:spacing w:val="-10"/>
          <w:sz w:val="28"/>
          <w:szCs w:val="28"/>
          <w:lang w:eastAsia="ar-SA"/>
        </w:rPr>
        <w:t>1</w:t>
      </w:r>
      <w:proofErr w:type="gramEnd"/>
      <w:r w:rsidRPr="00A84D09">
        <w:rPr>
          <w:rFonts w:ascii="PT Astra Serif" w:hAnsi="PT Astra Serif"/>
        </w:rPr>
        <w:t xml:space="preserve">– </w:t>
      </w:r>
      <w:r w:rsidRPr="00A84D09">
        <w:rPr>
          <w:rFonts w:ascii="PT Astra Serif" w:hAnsi="PT Astra Serif"/>
          <w:b/>
          <w:bCs/>
          <w:color w:val="000000" w:themeColor="text1"/>
          <w:spacing w:val="-10"/>
          <w:sz w:val="28"/>
          <w:szCs w:val="28"/>
          <w:lang w:eastAsia="ar-SA"/>
        </w:rPr>
        <w:t>Зона сельскохозяйственных угодий</w:t>
      </w:r>
    </w:p>
    <w:tbl>
      <w:tblPr>
        <w:tblStyle w:val="af"/>
        <w:tblW w:w="9923" w:type="dxa"/>
        <w:tblInd w:w="108" w:type="dxa"/>
        <w:tblLayout w:type="fixed"/>
        <w:tblLook w:val="04A0"/>
      </w:tblPr>
      <w:tblGrid>
        <w:gridCol w:w="2694"/>
        <w:gridCol w:w="7229"/>
      </w:tblGrid>
      <w:tr w:rsidR="00A84D09" w:rsidRPr="00A84D09" w:rsidTr="002938D1">
        <w:trPr>
          <w:trHeight w:val="3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A84D0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suppressAutoHyphens/>
              <w:jc w:val="center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84D09" w:rsidRPr="00A84D09" w:rsidTr="002938D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09" w:rsidRPr="00A84D09" w:rsidRDefault="00A84D09" w:rsidP="002938D1">
            <w:pPr>
              <w:pStyle w:val="aa"/>
              <w:ind w:firstLine="0"/>
              <w:jc w:val="center"/>
              <w:rPr>
                <w:rFonts w:ascii="PT Astra Serif" w:hAnsi="PT Astra Serif"/>
                <w:bCs/>
                <w:iCs/>
                <w:shd w:val="clear" w:color="auto" w:fill="FFFFFF"/>
                <w:lang w:val="ru-RU" w:bidi="ar-SA"/>
              </w:rPr>
            </w:pPr>
            <w:r w:rsidRPr="00A84D09">
              <w:rPr>
                <w:rStyle w:val="5"/>
                <w:rFonts w:ascii="PT Astra Serif" w:hAnsi="PT Astra Serif"/>
                <w:color w:val="000000"/>
                <w:lang w:val="ru-RU"/>
              </w:rPr>
              <w:t>Основные виды разрешенного использования</w:t>
            </w:r>
            <w:r w:rsidRPr="00A84D09">
              <w:rPr>
                <w:rStyle w:val="5"/>
                <w:rFonts w:ascii="PT Astra Serif" w:hAnsi="PT Astra Serif"/>
                <w:lang w:val="ru-RU"/>
              </w:rPr>
              <w:t>:</w:t>
            </w:r>
          </w:p>
        </w:tc>
      </w:tr>
      <w:tr w:rsidR="00A84D09" w:rsidRPr="00A84D09" w:rsidTr="002938D1">
        <w:trPr>
          <w:trHeight w:val="12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Растениеводство (1.1)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1.Предельные (минимальные и (или) максимальные) размеры земельных участков: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 площадь земельного участк</w:t>
            </w:r>
            <w:proofErr w:type="gramStart"/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от 500 до 500000 кв. м;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 ширина земельного участка – от 20 до 1000 м;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 длина земельного участка – от 20 до 2000 м.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 Минимальные отступы от границ земельных участков не подлежат установлению.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 Предельное количество этажей – не подлежит установлению.</w:t>
            </w:r>
          </w:p>
          <w:p w:rsidR="00A84D09" w:rsidRPr="00A84D09" w:rsidRDefault="00A84D09" w:rsidP="002938D1">
            <w:pPr>
              <w:pStyle w:val="ConsNormal"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A84D09" w:rsidRPr="00A84D09" w:rsidTr="002938D1">
        <w:trPr>
          <w:trHeight w:val="12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Выращивание зерновых и иных сельскохозяйственных культур (1.2)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3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Овощеводство (1.3)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3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Выращивание тонизирующих, лекарственных, цветочных культур (1.4)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3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Садоводство (1.5)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3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Выращивание льна и конопли (1.6)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Ведение личного подсобного хозяйства на полевых участках (1.16)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Минимальный размер участка составляет 300 кв. м, максимальный размер участка – 20000 кв.м.</w:t>
            </w:r>
          </w:p>
          <w:p w:rsidR="00A84D09" w:rsidRPr="00A84D09" w:rsidRDefault="00A84D09" w:rsidP="002938D1">
            <w:pPr>
              <w:pStyle w:val="ConsNormal"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Другие параметры не подлежат установлению.</w:t>
            </w:r>
          </w:p>
        </w:tc>
      </w:tr>
      <w:tr w:rsidR="00A84D09" w:rsidRPr="00A84D09" w:rsidTr="002938D1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Обеспечение</w:t>
            </w:r>
          </w:p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сельскохозяйственного</w:t>
            </w:r>
          </w:p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производства (1.18)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ConsNormal"/>
              <w:widowControl/>
              <w:tabs>
                <w:tab w:val="left" w:pos="176"/>
                <w:tab w:val="left" w:pos="318"/>
                <w:tab w:val="left" w:pos="46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1.Предельные (минимальные и (или) максимальные) размеры земельных участков: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18"/>
              </w:numPr>
              <w:tabs>
                <w:tab w:val="left" w:pos="176"/>
                <w:tab w:val="left" w:pos="317"/>
              </w:tabs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площадь земельного участк</w:t>
            </w:r>
            <w:proofErr w:type="gramStart"/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от 500 до 500000 кв. м;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18"/>
              </w:numPr>
              <w:tabs>
                <w:tab w:val="left" w:pos="176"/>
                <w:tab w:val="left" w:pos="317"/>
              </w:tabs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ширина земельного участка - от 20 до 1000 м;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18"/>
              </w:numPr>
              <w:tabs>
                <w:tab w:val="left" w:pos="176"/>
                <w:tab w:val="left" w:pos="317"/>
              </w:tabs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длина земельного участка - от 20 до 2000 м.</w:t>
            </w:r>
          </w:p>
          <w:p w:rsidR="00A84D09" w:rsidRPr="00A84D09" w:rsidRDefault="00A84D09" w:rsidP="002938D1">
            <w:pPr>
              <w:pStyle w:val="ConsNormal"/>
              <w:widowControl/>
              <w:tabs>
                <w:tab w:val="left" w:pos="176"/>
                <w:tab w:val="left" w:pos="318"/>
                <w:tab w:val="left" w:pos="46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 Минимальные отступы от границ земельных участков не подлежат установлению.</w:t>
            </w:r>
          </w:p>
          <w:p w:rsidR="00A84D09" w:rsidRPr="00A84D09" w:rsidRDefault="00A84D09" w:rsidP="002938D1">
            <w:pPr>
              <w:pStyle w:val="ConsNormal"/>
              <w:widowControl/>
              <w:tabs>
                <w:tab w:val="left" w:pos="176"/>
                <w:tab w:val="left" w:pos="318"/>
                <w:tab w:val="left" w:pos="46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 Предельное количество этажей – не подлежит установлению.</w:t>
            </w:r>
          </w:p>
          <w:p w:rsidR="00A84D09" w:rsidRPr="00A84D09" w:rsidRDefault="00A84D09" w:rsidP="002938D1">
            <w:pPr>
              <w:tabs>
                <w:tab w:val="left" w:pos="176"/>
                <w:tab w:val="left" w:pos="318"/>
                <w:tab w:val="left" w:pos="460"/>
              </w:tabs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A84D09" w:rsidRPr="00A84D09" w:rsidTr="002938D1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Сенокошение (1.19)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Коммунальное обслуживание (3.1)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Не подлежат установлению. При новом строительстве устанавливаются в соответствии с документами по планировке территории.</w:t>
            </w:r>
          </w:p>
          <w:p w:rsidR="00A84D09" w:rsidRPr="00A84D09" w:rsidRDefault="00A84D09" w:rsidP="002938D1">
            <w:pPr>
              <w:pStyle w:val="ConsNormal"/>
              <w:spacing w:before="0"/>
              <w:ind w:left="0" w:right="0" w:firstLine="0"/>
              <w:jc w:val="left"/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Энергетика (6.7)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pStyle w:val="ConsNormal"/>
              <w:spacing w:before="0"/>
              <w:ind w:left="0" w:right="0"/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Связь (6.8)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D09" w:rsidRPr="00A84D09" w:rsidRDefault="00A84D09" w:rsidP="002938D1">
            <w:pPr>
              <w:pStyle w:val="ConsNormal"/>
              <w:spacing w:before="0"/>
              <w:ind w:left="0" w:right="0"/>
              <w:rPr>
                <w:rFonts w:ascii="PT Astra Serif" w:hAnsi="PT Astra Serif"/>
              </w:rPr>
            </w:pPr>
          </w:p>
        </w:tc>
      </w:tr>
      <w:tr w:rsidR="00A84D09" w:rsidRPr="00A84D09" w:rsidTr="002938D1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Трубопроводный транспорт (7.5)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84D09" w:rsidRPr="00A84D09" w:rsidTr="002938D1">
        <w:trPr>
          <w:trHeight w:val="32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09" w:rsidRPr="00A84D09" w:rsidRDefault="00A84D09" w:rsidP="002938D1">
            <w:pPr>
              <w:pStyle w:val="aa"/>
              <w:ind w:firstLine="0"/>
              <w:jc w:val="center"/>
              <w:rPr>
                <w:rFonts w:ascii="PT Astra Serif" w:hAnsi="PT Astra Serif"/>
                <w:bCs/>
                <w:iCs/>
                <w:color w:val="000000"/>
                <w:shd w:val="clear" w:color="auto" w:fill="FFFFFF"/>
                <w:lang w:val="ru-RU" w:bidi="ar-SA"/>
              </w:rPr>
            </w:pPr>
            <w:r w:rsidRPr="00A84D09">
              <w:rPr>
                <w:rStyle w:val="5"/>
                <w:rFonts w:ascii="PT Astra Serif" w:hAnsi="PT Astra Serif"/>
                <w:color w:val="000000"/>
                <w:lang w:val="ru-RU"/>
              </w:rPr>
              <w:t>Вспомогательные виды разрешенного использования:</w:t>
            </w:r>
          </w:p>
        </w:tc>
      </w:tr>
      <w:tr w:rsidR="00A84D09" w:rsidRPr="00A84D09" w:rsidTr="002938D1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Питомники (1.17)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ConsNormal"/>
              <w:widowControl/>
              <w:tabs>
                <w:tab w:val="left" w:pos="1515"/>
              </w:tabs>
              <w:spacing w:before="0"/>
              <w:ind w:left="0" w:right="0" w:firstLine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84D09">
              <w:rPr>
                <w:rStyle w:val="5"/>
                <w:rFonts w:ascii="PT Astra Serif" w:hAnsi="PT Astra Serif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A84D09" w:rsidRPr="00A84D09" w:rsidTr="002938D1">
        <w:trPr>
          <w:trHeight w:val="28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09" w:rsidRPr="00A84D09" w:rsidRDefault="00A84D09" w:rsidP="002938D1">
            <w:pPr>
              <w:pStyle w:val="aa"/>
              <w:ind w:firstLine="0"/>
              <w:jc w:val="center"/>
              <w:rPr>
                <w:rFonts w:ascii="PT Astra Serif" w:hAnsi="PT Astra Serif"/>
                <w:bCs/>
                <w:iCs/>
                <w:color w:val="000000"/>
                <w:shd w:val="clear" w:color="auto" w:fill="FFFFFF"/>
                <w:lang w:val="ru-RU" w:bidi="ar-SA"/>
              </w:rPr>
            </w:pPr>
            <w:r w:rsidRPr="00A84D09">
              <w:rPr>
                <w:rStyle w:val="5"/>
                <w:rFonts w:ascii="PT Astra Serif" w:hAnsi="PT Astra Serif"/>
                <w:color w:val="000000"/>
                <w:lang w:val="ru-RU"/>
              </w:rPr>
              <w:t>Условно разрешенные виды использования:</w:t>
            </w:r>
          </w:p>
        </w:tc>
      </w:tr>
      <w:tr w:rsidR="00A84D09" w:rsidRPr="00A84D09" w:rsidTr="002938D1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Хранение и переработка</w:t>
            </w:r>
          </w:p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сельскохозяйственной</w:t>
            </w:r>
          </w:p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продукции (1.15)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1.Предельные (минимальные и (или) максимальные) размеры земельных участков: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19"/>
              </w:numPr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площадь земельного участк</w:t>
            </w:r>
            <w:proofErr w:type="gramStart"/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от 500 до 500000 кв. м;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19"/>
              </w:numPr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ширина земельного участка - от 20 до 1000 м;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19"/>
              </w:numPr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длина земельного участка - от 20 до 2000 м.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2.Минимальные отступы от границ земельных участков не </w:t>
            </w: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подлежат установлению.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3.Предельное количество этажей - не подлежит установлению.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- не подлежит установлению.</w:t>
            </w:r>
          </w:p>
        </w:tc>
      </w:tr>
      <w:tr w:rsidR="00A84D09" w:rsidRPr="00A84D09" w:rsidTr="002938D1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lastRenderedPageBreak/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ind w:left="33"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:rsidR="00A84D09" w:rsidRPr="00A84D09" w:rsidRDefault="00A84D09" w:rsidP="00A84D09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>площадь земельного участка (ЛПХ) - от 300 до 20000 кв. м;</w:t>
            </w:r>
          </w:p>
          <w:p w:rsidR="00A84D09" w:rsidRPr="00A84D09" w:rsidRDefault="00A84D09" w:rsidP="00A84D09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>площадь застройки сблокированных хозяйственных построек не должна превышать 800 кв.м.</w:t>
            </w:r>
          </w:p>
          <w:p w:rsidR="00A84D09" w:rsidRPr="00A84D09" w:rsidRDefault="00A84D09" w:rsidP="002938D1">
            <w:pPr>
              <w:tabs>
                <w:tab w:val="left" w:pos="0"/>
                <w:tab w:val="left" w:pos="709"/>
                <w:tab w:val="left" w:pos="1134"/>
              </w:tabs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2.Предельное количество этажей - не более 3 этажей.</w:t>
            </w:r>
          </w:p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Предельное количество этажей - для хозяйственных построек не более 1 этажа.</w:t>
            </w:r>
          </w:p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3.Максимальная высота жилого дома -12 м.</w:t>
            </w:r>
          </w:p>
          <w:p w:rsidR="00A84D09" w:rsidRPr="00A84D09" w:rsidRDefault="00A84D09" w:rsidP="002938D1">
            <w:pPr>
              <w:tabs>
                <w:tab w:val="left" w:pos="0"/>
                <w:tab w:val="left" w:pos="709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</w:rPr>
              <w:t>4.Максимальный процент застройки в границах земельного участка – 60 %.</w:t>
            </w:r>
          </w:p>
          <w:p w:rsidR="00A84D09" w:rsidRPr="00A84D09" w:rsidRDefault="00A84D09" w:rsidP="002938D1">
            <w:pPr>
              <w:tabs>
                <w:tab w:val="left" w:pos="0"/>
                <w:tab w:val="left" w:pos="709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A84D09">
              <w:rPr>
                <w:rFonts w:ascii="PT Astra Serif" w:hAnsi="PT Astra Serif"/>
                <w:color w:val="000000" w:themeColor="text1"/>
              </w:rPr>
              <w:t xml:space="preserve">5.Расстояния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м. </w:t>
            </w:r>
            <w:r w:rsidRPr="00A84D09">
              <w:rPr>
                <w:rFonts w:ascii="PT Astra Serif" w:eastAsia="Calibri" w:hAnsi="PT Astra Serif"/>
              </w:rPr>
              <w:t>По противопожарным нормам в зависимости от степени огнестойкости зданий и сооружений  минимальные расстояние составляет  от 6 м до 15 м.</w:t>
            </w:r>
            <w:proofErr w:type="gramEnd"/>
          </w:p>
          <w:p w:rsidR="00A84D09" w:rsidRPr="00A84D09" w:rsidRDefault="00A84D09" w:rsidP="002938D1">
            <w:pPr>
              <w:tabs>
                <w:tab w:val="left" w:pos="0"/>
                <w:tab w:val="left" w:pos="709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 xml:space="preserve">6.Расстояние от границ участка должно быть не менее, </w:t>
            </w:r>
            <w:proofErr w:type="gramStart"/>
            <w:r w:rsidRPr="00A84D09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A84D09">
              <w:rPr>
                <w:rFonts w:ascii="PT Astra Serif" w:hAnsi="PT Astra Serif"/>
                <w:color w:val="000000" w:themeColor="text1"/>
              </w:rPr>
              <w:t xml:space="preserve">: </w:t>
            </w:r>
          </w:p>
          <w:p w:rsidR="00A84D09" w:rsidRPr="00A84D09" w:rsidRDefault="00A84D09" w:rsidP="00A84D09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1134"/>
              </w:tabs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 xml:space="preserve">до стены жилого дома - 3; </w:t>
            </w:r>
          </w:p>
          <w:p w:rsidR="00A84D09" w:rsidRPr="00A84D09" w:rsidRDefault="00A84D09" w:rsidP="00A84D09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1134"/>
              </w:tabs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>до хозяйственных построек - 1.</w:t>
            </w:r>
          </w:p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Расстояния между группами хозяйственных построек следует принимать в соответствии с требованиями пожарной безопасности.</w:t>
            </w:r>
          </w:p>
          <w:p w:rsidR="00A84D09" w:rsidRPr="00A84D09" w:rsidRDefault="00A84D09" w:rsidP="002938D1">
            <w:pPr>
              <w:tabs>
                <w:tab w:val="left" w:pos="0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 xml:space="preserve">7.При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м. </w:t>
            </w:r>
          </w:p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>8.</w:t>
            </w:r>
            <w:r w:rsidRPr="00A84D09">
              <w:rPr>
                <w:rFonts w:ascii="PT Astra Serif" w:hAnsi="PT Astra Serif"/>
              </w:rPr>
              <w:t xml:space="preserve">Хозяйственные постройки для скота и птицы следует предусматривать на расстоянии от окон жилых помещений дома, </w:t>
            </w:r>
            <w:proofErr w:type="gramStart"/>
            <w:r w:rsidRPr="00A84D09">
              <w:rPr>
                <w:rFonts w:ascii="PT Astra Serif" w:hAnsi="PT Astra Serif"/>
              </w:rPr>
              <w:t>м</w:t>
            </w:r>
            <w:proofErr w:type="gramEnd"/>
            <w:r w:rsidRPr="00A84D09">
              <w:rPr>
                <w:rFonts w:ascii="PT Astra Serif" w:hAnsi="PT Astra Serif"/>
              </w:rPr>
              <w:t xml:space="preserve">, не менее: одиночные или двойные - 10, до восьми блоков - 25, от восьми до 30 блоков - 50. </w:t>
            </w:r>
          </w:p>
          <w:p w:rsidR="00A84D09" w:rsidRPr="00A84D09" w:rsidRDefault="00A84D09" w:rsidP="002938D1">
            <w:pPr>
              <w:rPr>
                <w:rFonts w:ascii="PT Astra Serif" w:eastAsia="Calibri" w:hAnsi="PT Astra Serif"/>
              </w:rPr>
            </w:pPr>
            <w:r w:rsidRPr="00A84D09">
              <w:rPr>
                <w:rFonts w:ascii="PT Astra Serif" w:hAnsi="PT Astra Serif"/>
              </w:rPr>
              <w:t>9.</w:t>
            </w:r>
            <w:r w:rsidRPr="00A84D09">
              <w:rPr>
                <w:rFonts w:ascii="PT Astra Serif" w:eastAsia="Calibri" w:hAnsi="PT Astra Serif"/>
              </w:rPr>
              <w:t xml:space="preserve"> Минимальный отступ линии застройки от красной линии при новом строительстве:</w:t>
            </w:r>
          </w:p>
          <w:p w:rsidR="00A84D09" w:rsidRPr="00A84D09" w:rsidRDefault="00A84D09" w:rsidP="00A84D09">
            <w:pPr>
              <w:numPr>
                <w:ilvl w:val="0"/>
                <w:numId w:val="17"/>
              </w:numPr>
              <w:ind w:left="142" w:hanging="142"/>
              <w:jc w:val="both"/>
              <w:rPr>
                <w:rFonts w:ascii="PT Astra Serif" w:eastAsia="Calibri" w:hAnsi="PT Astra Serif"/>
              </w:rPr>
            </w:pPr>
            <w:r w:rsidRPr="00A84D09">
              <w:rPr>
                <w:rFonts w:ascii="PT Astra Serif" w:eastAsia="Calibri" w:hAnsi="PT Astra Serif"/>
              </w:rPr>
              <w:t xml:space="preserve"> не менее 5 м со стороны улиц;</w:t>
            </w:r>
          </w:p>
          <w:p w:rsidR="00A84D09" w:rsidRPr="00A84D09" w:rsidRDefault="00A84D09" w:rsidP="00A84D09">
            <w:pPr>
              <w:numPr>
                <w:ilvl w:val="0"/>
                <w:numId w:val="17"/>
              </w:numPr>
              <w:ind w:left="142" w:hanging="142"/>
              <w:jc w:val="both"/>
              <w:rPr>
                <w:rFonts w:ascii="PT Astra Serif" w:eastAsia="Calibri" w:hAnsi="PT Astra Serif"/>
              </w:rPr>
            </w:pPr>
            <w:r w:rsidRPr="00A84D09">
              <w:rPr>
                <w:rFonts w:ascii="PT Astra Serif" w:eastAsia="Calibri" w:hAnsi="PT Astra Serif"/>
              </w:rPr>
              <w:t xml:space="preserve"> не мене 3 м со стороны проездов;</w:t>
            </w:r>
          </w:p>
          <w:p w:rsidR="00A84D09" w:rsidRPr="00A84D09" w:rsidRDefault="00A84D09" w:rsidP="002938D1">
            <w:pPr>
              <w:rPr>
                <w:rFonts w:ascii="PT Astra Serif" w:eastAsia="Calibri" w:hAnsi="PT Astra Serif"/>
              </w:rPr>
            </w:pPr>
            <w:r w:rsidRPr="00A84D09">
              <w:rPr>
                <w:rFonts w:ascii="PT Astra Serif" w:eastAsia="Calibri" w:hAnsi="PT Astra Serif"/>
              </w:rPr>
              <w:t>В районе существующей застройки – в соответствии со сложившейся ситуацией.</w:t>
            </w:r>
          </w:p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10.Иные показатели - высота ограждения земельных участков не более 2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A84D09" w:rsidRPr="00A84D09" w:rsidRDefault="00A84D09" w:rsidP="002938D1">
            <w:pPr>
              <w:tabs>
                <w:tab w:val="left" w:pos="0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>11.Вспомогательные сооружения, за исключением гаражей, размещать со стороны улиц не допускается.</w:t>
            </w:r>
          </w:p>
          <w:p w:rsidR="00A84D09" w:rsidRPr="00A84D09" w:rsidRDefault="00A84D09" w:rsidP="002938D1">
            <w:pPr>
              <w:tabs>
                <w:tab w:val="left" w:pos="0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  <w:color w:val="000000" w:themeColor="text1"/>
              </w:rPr>
              <w:t>12.Высота ворот гаражей – не более 2,5 м.</w:t>
            </w:r>
          </w:p>
          <w:p w:rsidR="00A84D09" w:rsidRPr="00A84D09" w:rsidRDefault="00A84D09" w:rsidP="002938D1">
            <w:pPr>
              <w:tabs>
                <w:tab w:val="left" w:pos="0"/>
                <w:tab w:val="left" w:pos="426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</w:rPr>
              <w:t>13.Допускается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A84D09" w:rsidRPr="00A84D09" w:rsidRDefault="00A84D09" w:rsidP="002938D1">
            <w:pPr>
              <w:tabs>
                <w:tab w:val="left" w:pos="0"/>
                <w:tab w:val="left" w:pos="426"/>
                <w:tab w:val="left" w:pos="1134"/>
              </w:tabs>
              <w:rPr>
                <w:rFonts w:ascii="PT Astra Serif" w:hAnsi="PT Astra Serif"/>
                <w:color w:val="000000" w:themeColor="text1"/>
              </w:rPr>
            </w:pPr>
            <w:r w:rsidRPr="00A84D09">
              <w:rPr>
                <w:rFonts w:ascii="PT Astra Serif" w:hAnsi="PT Astra Serif"/>
              </w:rPr>
              <w:t>14.Расстояние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A84D09" w:rsidRPr="00A84D09" w:rsidRDefault="00A84D09" w:rsidP="002938D1">
            <w:pPr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t>15.Уклон крыши следует принимать в сторону своего земельного участка.</w:t>
            </w:r>
          </w:p>
        </w:tc>
      </w:tr>
      <w:tr w:rsidR="00A84D09" w:rsidRPr="00A84D09" w:rsidTr="002938D1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ab"/>
              <w:jc w:val="left"/>
              <w:rPr>
                <w:rFonts w:ascii="PT Astra Serif" w:hAnsi="PT Astra Serif"/>
              </w:rPr>
            </w:pPr>
            <w:proofErr w:type="spellStart"/>
            <w:r w:rsidRPr="00A84D09">
              <w:rPr>
                <w:rFonts w:ascii="PT Astra Serif" w:hAnsi="PT Astra Serif"/>
              </w:rPr>
              <w:t>Недропользование</w:t>
            </w:r>
            <w:proofErr w:type="spellEnd"/>
            <w:r w:rsidRPr="00A84D09">
              <w:rPr>
                <w:rFonts w:ascii="PT Astra Serif" w:hAnsi="PT Astra Serif"/>
              </w:rPr>
              <w:t xml:space="preserve"> (6.1)</w:t>
            </w:r>
          </w:p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1.Предельные (минимальные и (или) максимальные) размеры земельных участков:</w:t>
            </w:r>
          </w:p>
          <w:p w:rsidR="00A84D09" w:rsidRPr="00A84D09" w:rsidRDefault="00A84D09" w:rsidP="00A84D09">
            <w:pPr>
              <w:pStyle w:val="ConsNormal"/>
              <w:widowControl/>
              <w:numPr>
                <w:ilvl w:val="0"/>
                <w:numId w:val="20"/>
              </w:numPr>
              <w:spacing w:before="0"/>
              <w:ind w:left="317" w:right="0" w:hanging="284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площадь земельного участка - от 10 до 15000000 кв. м.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2.Минимальные отступы от границ земельных участков – не </w:t>
            </w: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 Предельное количество этажей – не устанавливается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4.Максимальный процент застройки в границах земельного участка – не устанавливается</w:t>
            </w:r>
          </w:p>
        </w:tc>
      </w:tr>
      <w:tr w:rsidR="00A84D09" w:rsidRPr="00A84D09" w:rsidTr="002938D1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suppressAutoHyphens/>
              <w:rPr>
                <w:rFonts w:ascii="PT Astra Serif" w:hAnsi="PT Astra Serif"/>
              </w:rPr>
            </w:pPr>
            <w:r w:rsidRPr="00A84D09">
              <w:rPr>
                <w:rFonts w:ascii="PT Astra Serif" w:hAnsi="PT Astra Serif"/>
              </w:rPr>
              <w:lastRenderedPageBreak/>
              <w:t>Общее пользование водными объектами (11.1)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84D0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  <w:p w:rsidR="00A84D09" w:rsidRPr="00A84D09" w:rsidRDefault="00A84D09" w:rsidP="002938D1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A84D09" w:rsidRPr="00A84D09" w:rsidRDefault="00A84D09" w:rsidP="00A84D09">
      <w:pPr>
        <w:pStyle w:val="af4"/>
        <w:tabs>
          <w:tab w:val="left" w:pos="1134"/>
        </w:tabs>
        <w:spacing w:after="0" w:line="240" w:lineRule="auto"/>
        <w:rPr>
          <w:rFonts w:ascii="PT Astra Serif" w:hAnsi="PT Astra Serif"/>
          <w:b w:val="0"/>
          <w:color w:val="000000" w:themeColor="text1"/>
          <w:spacing w:val="-10"/>
          <w:sz w:val="24"/>
          <w:szCs w:val="24"/>
          <w:lang w:eastAsia="ar-SA"/>
        </w:rPr>
      </w:pPr>
      <w:r w:rsidRPr="00A84D09">
        <w:rPr>
          <w:rFonts w:ascii="PT Astra Serif" w:hAnsi="PT Astra Serif"/>
          <w:b w:val="0"/>
          <w:sz w:val="24"/>
          <w:szCs w:val="24"/>
        </w:rPr>
        <w:t>Ограничения использования земельных участков и объектов капитального строительства указаны в статьях 68-74настоящих Правил.</w:t>
      </w:r>
    </w:p>
    <w:p w:rsidR="00A84D09" w:rsidRPr="00A84D09" w:rsidRDefault="00A84D09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</w:p>
    <w:sectPr w:rsidR="00A84D09" w:rsidRPr="00A84D09" w:rsidSect="00544047">
      <w:pgSz w:w="11906" w:h="16838"/>
      <w:pgMar w:top="1135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5B5E82"/>
    <w:multiLevelType w:val="hybridMultilevel"/>
    <w:tmpl w:val="3F7E53B0"/>
    <w:lvl w:ilvl="0" w:tplc="E026C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697594"/>
    <w:multiLevelType w:val="hybridMultilevel"/>
    <w:tmpl w:val="0EE4C524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A637B"/>
    <w:multiLevelType w:val="hybridMultilevel"/>
    <w:tmpl w:val="E6303D6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12CFB"/>
    <w:multiLevelType w:val="hybridMultilevel"/>
    <w:tmpl w:val="A9FE1214"/>
    <w:lvl w:ilvl="0" w:tplc="EF5653DA">
      <w:start w:val="1"/>
      <w:numFmt w:val="decimal"/>
      <w:lvlText w:val="%1."/>
      <w:lvlJc w:val="left"/>
      <w:pPr>
        <w:ind w:left="2335" w:hanging="1200"/>
      </w:pPr>
      <w:rPr>
        <w:rFonts w:eastAsiaTheme="minorHAnsi" w:hint="default"/>
        <w:b/>
        <w:color w:val="000000" w:themeColor="text1"/>
      </w:rPr>
    </w:lvl>
    <w:lvl w:ilvl="1" w:tplc="58F87C6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E454EF"/>
    <w:multiLevelType w:val="hybridMultilevel"/>
    <w:tmpl w:val="34A05A34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E4096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2"/>
  </w:num>
  <w:num w:numId="5">
    <w:abstractNumId w:val="15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19"/>
  </w:num>
  <w:num w:numId="11">
    <w:abstractNumId w:val="1"/>
  </w:num>
  <w:num w:numId="12">
    <w:abstractNumId w:val="9"/>
  </w:num>
  <w:num w:numId="13">
    <w:abstractNumId w:val="4"/>
  </w:num>
  <w:num w:numId="14">
    <w:abstractNumId w:val="13"/>
  </w:num>
  <w:num w:numId="15">
    <w:abstractNumId w:val="0"/>
  </w:num>
  <w:num w:numId="16">
    <w:abstractNumId w:val="18"/>
  </w:num>
  <w:num w:numId="17">
    <w:abstractNumId w:val="17"/>
  </w:num>
  <w:num w:numId="18">
    <w:abstractNumId w:val="12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289D"/>
    <w:rsid w:val="00106FA9"/>
    <w:rsid w:val="00111250"/>
    <w:rsid w:val="00143281"/>
    <w:rsid w:val="001B2715"/>
    <w:rsid w:val="001E2123"/>
    <w:rsid w:val="001F66F0"/>
    <w:rsid w:val="002177E9"/>
    <w:rsid w:val="002462DE"/>
    <w:rsid w:val="002A400E"/>
    <w:rsid w:val="002B49D9"/>
    <w:rsid w:val="002E574A"/>
    <w:rsid w:val="002E6207"/>
    <w:rsid w:val="002F58EF"/>
    <w:rsid w:val="003120E3"/>
    <w:rsid w:val="003127D2"/>
    <w:rsid w:val="00320DEF"/>
    <w:rsid w:val="00340345"/>
    <w:rsid w:val="003410AD"/>
    <w:rsid w:val="003411E2"/>
    <w:rsid w:val="0034340C"/>
    <w:rsid w:val="00353E5E"/>
    <w:rsid w:val="003614EA"/>
    <w:rsid w:val="003703C9"/>
    <w:rsid w:val="003709C2"/>
    <w:rsid w:val="00380F05"/>
    <w:rsid w:val="00382A6C"/>
    <w:rsid w:val="00386335"/>
    <w:rsid w:val="00397CB1"/>
    <w:rsid w:val="003B7316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4734B"/>
    <w:rsid w:val="004722CE"/>
    <w:rsid w:val="00490703"/>
    <w:rsid w:val="004924AD"/>
    <w:rsid w:val="0049351C"/>
    <w:rsid w:val="004B4E07"/>
    <w:rsid w:val="004D3BB8"/>
    <w:rsid w:val="004E2E39"/>
    <w:rsid w:val="004E3973"/>
    <w:rsid w:val="005003B2"/>
    <w:rsid w:val="005117A2"/>
    <w:rsid w:val="005434A3"/>
    <w:rsid w:val="00544047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2A3E"/>
    <w:rsid w:val="006F61E8"/>
    <w:rsid w:val="00714078"/>
    <w:rsid w:val="00756099"/>
    <w:rsid w:val="007602C1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4166"/>
    <w:rsid w:val="008C73B5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B6685"/>
    <w:rsid w:val="009D2312"/>
    <w:rsid w:val="009D7C7B"/>
    <w:rsid w:val="009E2101"/>
    <w:rsid w:val="009F6174"/>
    <w:rsid w:val="00A00DF8"/>
    <w:rsid w:val="00A0588D"/>
    <w:rsid w:val="00A264BF"/>
    <w:rsid w:val="00A31E08"/>
    <w:rsid w:val="00A32D08"/>
    <w:rsid w:val="00A348B6"/>
    <w:rsid w:val="00A42659"/>
    <w:rsid w:val="00A44D29"/>
    <w:rsid w:val="00A5104A"/>
    <w:rsid w:val="00A54FF9"/>
    <w:rsid w:val="00A62D2A"/>
    <w:rsid w:val="00A80073"/>
    <w:rsid w:val="00A80BA1"/>
    <w:rsid w:val="00A84D09"/>
    <w:rsid w:val="00A92CCD"/>
    <w:rsid w:val="00A9423C"/>
    <w:rsid w:val="00AA4100"/>
    <w:rsid w:val="00AB190C"/>
    <w:rsid w:val="00AB19D0"/>
    <w:rsid w:val="00AC4695"/>
    <w:rsid w:val="00AE0E9F"/>
    <w:rsid w:val="00AE128B"/>
    <w:rsid w:val="00B21C1B"/>
    <w:rsid w:val="00B37752"/>
    <w:rsid w:val="00B53203"/>
    <w:rsid w:val="00B53DDF"/>
    <w:rsid w:val="00B7305D"/>
    <w:rsid w:val="00BA0403"/>
    <w:rsid w:val="00BA0B6C"/>
    <w:rsid w:val="00BC4180"/>
    <w:rsid w:val="00BD788D"/>
    <w:rsid w:val="00BF217F"/>
    <w:rsid w:val="00C1548F"/>
    <w:rsid w:val="00C156C1"/>
    <w:rsid w:val="00C3257C"/>
    <w:rsid w:val="00C35C47"/>
    <w:rsid w:val="00C6566F"/>
    <w:rsid w:val="00C973C9"/>
    <w:rsid w:val="00CA5795"/>
    <w:rsid w:val="00CB2509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5C32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aliases w:val="Заголовок мой1,СписокСТПр,Введение,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DE5F1E"/>
    <w:pPr>
      <w:ind w:left="720"/>
      <w:contextualSpacing/>
    </w:pPr>
  </w:style>
  <w:style w:type="character" w:styleId="a8">
    <w:name w:val="Hyperlink"/>
    <w:uiPriority w:val="99"/>
    <w:rsid w:val="006F61E8"/>
    <w:rPr>
      <w:color w:val="0000FF"/>
      <w:u w:val="single"/>
    </w:rPr>
  </w:style>
  <w:style w:type="character" w:styleId="a9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b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basedOn w:val="a"/>
    <w:link w:val="ae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e">
    <w:name w:val="Без интервала Знак"/>
    <w:basedOn w:val="a0"/>
    <w:link w:val="ad"/>
    <w:uiPriority w:val="1"/>
    <w:rsid w:val="00F06EF1"/>
    <w:rPr>
      <w:rFonts w:ascii="Times New Roman" w:eastAsia="Calibri" w:hAnsi="Times New Roman" w:cs="Times New Roman"/>
    </w:rPr>
  </w:style>
  <w:style w:type="table" w:styleId="af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4734B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44734B"/>
    <w:rPr>
      <w:rFonts w:ascii="Calibri" w:eastAsia="Calibri" w:hAnsi="Calibri" w:cs="Times New Roman"/>
    </w:rPr>
  </w:style>
  <w:style w:type="paragraph" w:customStyle="1" w:styleId="Iauiue">
    <w:name w:val="Iau?iue"/>
    <w:rsid w:val="0044734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A84D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aliases w:val="Заголовок мой1 Знак,СписокСТПр Знак,Введение Знак,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qFormat/>
    <w:locked/>
    <w:rsid w:val="00A84D09"/>
  </w:style>
  <w:style w:type="paragraph" w:customStyle="1" w:styleId="af4">
    <w:name w:val="Генплан подглава"/>
    <w:basedOn w:val="a"/>
    <w:link w:val="af5"/>
    <w:qFormat/>
    <w:rsid w:val="00A84D09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5">
    <w:name w:val="Генплан подглава Знак"/>
    <w:link w:val="af4"/>
    <w:rsid w:val="00A84D09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06C7-CB65-4E9C-B523-52108E18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2024-01-09T11:46:00Z</cp:lastPrinted>
  <dcterms:created xsi:type="dcterms:W3CDTF">2023-12-25T04:53:00Z</dcterms:created>
  <dcterms:modified xsi:type="dcterms:W3CDTF">2024-01-09T11:46:00Z</dcterms:modified>
</cp:coreProperties>
</file>